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GüKGrKabotageV 2012 — Verwendung der CEMT-Genehmigung</w:t>
      </w:r>
    </w:p>
    <w:p>
      <w:r>
        <w:rPr>
          <w:color w:val="555555"/>
          <w:sz w:val="18"/>
        </w:rPr>
        <w:t xml:space="preserve">Verordnung über den grenzüberschreitenden Güterkraftverkehr und den Kabotageverkehr</w:t>
      </w:r>
    </w:p>
    <w:p>
      <w:r>
        <w:rPr>
          <w:color w:val="555555"/>
          <w:sz w:val="18"/>
        </w:rPr>
        <w:t xml:space="preserve">Stand: 10.06.2019 (konsolidierte Textfassung, kein amtliches Inkrafttretensdatum)</w:t>
      </w:r>
    </w:p>
    <w:p>
      <w:r>
        <w:t xml:space="preserve">Eine von einem Mitgliedstaat der CEMT nach der in § 4 Absatz 1 genannten Resolution erteilten CEMT-Genehmigung berechtigt zum grenzüberschreitenden Güterkraftverkehr unter folgenden Voraussetzungen:</w:t>
      </w:r>
    </w:p>
    <w:p>
      <w:pPr>
        <w:ind w:left="420"/>
      </w:pPr>
      <w:r>
        <w:t xml:space="preserve">1. Die CEMT-Genehmigung darf nicht gleichzeitig für mehr als ein Kraftfahrzeug verwendet werden.</w:t>
      </w:r>
    </w:p>
    <w:p>
      <w:pPr>
        <w:ind w:left="420"/>
      </w:pPr>
      <w:r>
        <w:t xml:space="preserve">1a. Eine CEMT-Genehmigung ist vom Fahrer bei einer Fahrt mit Ladung zwischen dem Beladeort (Ort der ersten Aufnahme von Ladung für die Fahrt) bis zum Entladeort (Ort der letzten Entladung dieser Fahrt) im Fahrzeug mitzuführen.</w:t>
      </w:r>
    </w:p>
    <w:p>
      <w:pPr>
        <w:ind w:left="420"/>
      </w:pPr>
      <w:r>
        <w:t xml:space="preserve">2. Der Unternehmer hat dafür zu sorgen, dass höchstens drei aufeinanderfolgende beladene Fahrten ohne Befahren des Gebietes des Staates, in dem das Unternehmen seinen Sitz hat, durchgeführt werden.</w:t>
      </w:r>
    </w:p>
    <w:p>
      <w:pPr>
        <w:ind w:left="420"/>
      </w:pPr>
      <w:r>
        <w:t xml:space="preserve">3. Der Unternehmer hat dafür zu sorgen, dass das Fahrtenberichtheft gemäß der in § 4 Absatz 1 genannten Resolution im grenzüberschreitenden Güterkraftverkehr mit CEMT-Genehmigung während der gesamten Fahrt mitgeführt wird und die ausgefüllten Seiten des Fahrtenberichthefts während des in der Genehmigungsurkunde eingetragenen Gültigkeitszeitraums im Fahrtenberichtheft aufbewahrt werden. Das Fahrpersonal muss das Fahrtenberichtheft im Kraftfahrzeug vollständig mitführen und Kontrollberechtigten auf Verlangen zur Prüfung aushändigen.</w:t>
      </w:r>
    </w:p>
    <w:p>
      <w:r>
        <w:rPr>
          <w:color w:val="555555"/>
          <w:sz w:val="17"/>
        </w:rPr>
        <w:t xml:space="preserve">Zitiervorschlag: § 7a GüKGrKabotageV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https://recht.nulegal.eu/gesetze/G%C3%BCKGrKabotageV%202012/7a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