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GüKGrKabotageV 2012 — Definition</w:t>
      </w:r>
    </w:p>
    <w:p>
      <w:r>
        <w:rPr>
          <w:color w:val="555555"/>
          <w:sz w:val="18"/>
        </w:rPr>
        <w:t xml:space="preserve">Verordnung über den grenzüberschreitenden Güterkraftverkehr und den Kabotageverkehr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grenzüberschreitender gewerblicher kombinierter Verkehr gelten Güterbeförderungen, bei denen</w:t>
      </w:r>
    </w:p>
    <w:p>
      <w:pPr>
        <w:ind w:left="420"/>
      </w:pPr>
      <w:r>
        <w:t xml:space="preserve">1. das Kraftfahrzeug, der Anhänger, der Fahrzeugaufbau, der Wechselbehälter oder der Container von mindestens 6 Meter Länge einen Teil der Strecke auf der Straße und einen anderen Teil der Strecke mit der Eisenbahn oder dem Binnen- oder Seeschiff (mit einer Seestrecke von mehr als 100 Kilometer Luftlinie) zurücklegt,</w:t>
      </w:r>
    </w:p>
    <w:p>
      <w:pPr>
        <w:ind w:left="420"/>
      </w:pPr>
      <w:r>
        <w:t xml:space="preserve">2. die Gesamtstrecke zum Teil im Inland und zum Teil im Ausland liegt und</w:t>
      </w:r>
    </w:p>
    <w:p>
      <w:pPr>
        <w:ind w:left="420"/>
      </w:pPr>
      <w:r>
        <w:t xml:space="preserve">3. die Beförderung auf der Straße im Inland lediglich zwischen Be- oder Entladestelle und</w:t>
      </w:r>
    </w:p>
    <w:p>
      <w:pPr>
        <w:ind w:left="780"/>
      </w:pPr>
      <w:r>
        <w:t xml:space="preserve">a) dem nächstgelegenen geeigneten Bahnhof oder</w:t>
      </w:r>
    </w:p>
    <w:p>
      <w:pPr>
        <w:ind w:left="780"/>
      </w:pPr>
      <w:r>
        <w:t xml:space="preserve">b) einem innerhalb eines Umkreises von höchstens 150 Kilometer Luftlinie gelegenen Binnen- oder Seehafen</w:t>
      </w:r>
    </w:p>
    <w:p>
      <w:pPr>
        <w:ind w:left="420"/>
      </w:pPr>
      <w:r>
        <w:t xml:space="preserve">durchgeführt wird (An- oder Abfuhr).</w:t>
      </w:r>
    </w:p>
    <w:p>
      <w:r>
        <w:rPr>
          <w:color w:val="555555"/>
          <w:sz w:val="17"/>
        </w:rPr>
        <w:t xml:space="preserve">Zitiervorschlag: § 13 GüKGrKabotageV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https://recht.nulegal.eu/gesetze/G%C3%BCKGrKabotageV%202012/13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