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GüKGrKabotageV 2012 — Erteilung der Drittstaatengenehmigung</w:t>
      </w:r>
    </w:p>
    <w:p>
      <w:r>
        <w:rPr>
          <w:color w:val="555555"/>
          <w:sz w:val="18"/>
        </w:rPr>
        <w:t xml:space="preserve">Verordnung über den grenzüberschreitenden Güterkraftverkehr und den Kabotageverkehr</w:t>
      </w:r>
    </w:p>
    <w:p>
      <w:r>
        <w:rPr>
          <w:color w:val="555555"/>
          <w:sz w:val="18"/>
        </w:rPr>
        <w:t xml:space="preserve">Stand: 10.06.2019 (konsolidierte Textfassung, kein amtliches Inkrafttretensdatum)</w:t>
      </w:r>
    </w:p>
    <w:p>
      <w:r>
        <w:t xml:space="preserve">(1) Die Drittstaatengenehmigung wird einem Unternehmer erteilt, der in dem Staat, in dem das Unternehmen seinen Sitz hat, zum grenzüberschreitenden Güterkraftverkehr für andere zugelassen ist und über den keine Tatsachen vorliegen, aus denen sich Bedenken gegen seine persönliche Zuverlässigkeit ergeben. Sie ist nicht übertragbar.</w:t>
      </w:r>
    </w:p>
    <w:p>
      <w:r>
        <w:t xml:space="preserve">(2) Die Erteilung erfolgt für einen bestimmten Zeitraum, mindestens einen Kalendertag. Die Zahl der Fahrten, die innerhalb dieses Zeitraumes durchgeführt werden dürfen, kann begrenzt werden.</w:t>
      </w:r>
    </w:p>
    <w:p>
      <w:r>
        <w:t xml:space="preserve">(3) Die Drittstaatengenehmigung kann unter Bedingungen, Auflagen oder mit verkehrsmäßigen Beschränkungen erteilt werden.</w:t>
      </w:r>
    </w:p>
    <w:p>
      <w:r>
        <w:t xml:space="preserve">(4) Für die Erteilung der Drittstaatengenehmigung ist das Bundesministerium für Verkehr und digitale Infrastruktur zuständig, sofern das Recht der Europäischen Union nicht etwas anderes bestimmt.</w:t>
      </w:r>
    </w:p>
    <w:p>
      <w:r>
        <w:t xml:space="preserve">(5) Die Drittstaatengenehmigung wird von der zuständigen Stelle des Staates ausgegeben, in dem das Unternehmen seinen Sitz hat, falls es sich um einen Mitgliedstaat der Europäischen Union oder einen anderen Vertragsstaat des Abkommens über den Europäischen Wirtschaftsraum handelt oder falls internationale Regierungs- oder Verwaltungsabkommen dies vorsehen. In allen anderen Fällen wird die Drittstaatengenehmigung von der Stelle ausgegeben, die das Bundesministerium für Verkehr und digitale Infrastruktur bestimmt hat.</w:t>
      </w:r>
    </w:p>
    <w:p>
      <w:r>
        <w:rPr>
          <w:color w:val="555555"/>
          <w:sz w:val="17"/>
        </w:rPr>
        <w:t xml:space="preserve">Zitiervorschlag: § 10 GüKGrKabotageV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https://recht.nulegal.eu/gesetze/G%C3%BCKGrKabotageV%202012/10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GüKGrKabotageV 2012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