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16 GüKG 1998 — Datei über abgeschlossene Bußgeldverfahren; Verordnungsermächtigung</w:t>
      </w:r>
    </w:p>
    <w:p>
      <w:r>
        <w:rPr>
          <w:color w:val="555555"/>
          <w:sz w:val="18"/>
        </w:rPr>
        <w:t xml:space="preserve">Güterkraftverkehrsgesetz</w:t>
      </w:r>
    </w:p>
    <w:p>
      <w:r>
        <w:rPr>
          <w:color w:val="555555"/>
          <w:sz w:val="18"/>
        </w:rPr>
        <w:t xml:space="preserve">Stand: 14.03.2026 (konsolidierte Textfassung, kein amtliches Inkrafttretensdatum)</w:t>
      </w:r>
    </w:p>
    <w:p>
      <w:r>
        <w:t xml:space="preserve">(1) Das Bundesamt darf zum Zweck der Verfolgung und Ahndung weiterer Ordnungswidrigkeiten derselben betroffenen Person sowie zum Zweck der Beurteilung der Zuverlässigkeit des Unternehmers und der Verkehrsleiter folgende personenbezogenen Daten über abgeschlossene Bußgeldverfahren, bei denen es Verwaltungsbehörde im Sinne des § 36 Abs. 1 Nr. 1 des Gesetzes über Ordnungswidrigkeiten ist, speichern und verändern:</w:t>
      </w:r>
    </w:p>
    <w:p>
      <w:pPr>
        <w:ind w:left="420"/>
      </w:pPr>
      <w:r>
        <w:t xml:space="preserve">1. Geburtsname, Familienname, Vorname, Geschlecht, Geburtsdatum, Geburtsort, Geburtsstaat und Staatsangehörigkeit der betroffenen Person, ihre Stellung im Unternehmen sowie Name und Anschrift des Unternehmens,</w:t>
      </w:r>
    </w:p>
    <w:p>
      <w:pPr>
        <w:ind w:left="420"/>
      </w:pPr>
      <w:r>
        <w:t xml:space="preserve">2. Zeit und Ort der Begehung der Ordnungswidrigkeit,</w:t>
      </w:r>
    </w:p>
    <w:p>
      <w:pPr>
        <w:ind w:left="420"/>
      </w:pPr>
      <w:r>
        <w:t xml:space="preserve">3. die gesetzlichen Merkmale der Ordnungswidrigkeit und die angewendeten Bußgeldvorschriften,</w:t>
      </w:r>
    </w:p>
    <w:p>
      <w:pPr>
        <w:ind w:left="420"/>
      </w:pPr>
      <w:r>
        <w:t xml:space="preserve">4. Bußgeldbescheide mit dem Datum ihres Erlasses und dem Datum des Eintritts der Rechtskraft, gerichtliche Entscheidungen in Bußgeldsachen mit dem Datum der Entscheidung und dem Datum des Eintritts ihrer Rechtskraft sowie jeweils die entscheidende Stelle samt Geschäftsnummer oder Aktenzeichen und</w:t>
      </w:r>
    </w:p>
    <w:p>
      <w:pPr>
        <w:ind w:left="420"/>
      </w:pPr>
      <w:r>
        <w:t xml:space="preserve">5. die Höhe der Geldbuße.</w:t>
      </w:r>
    </w:p>
    <w:p>
      <w:r>
        <w:t xml:space="preserve">Das Bundesamt darf diese Daten verwenden, soweit es für die in Satz 1 genannten Zwecke erforderlich ist.</w:t>
      </w:r>
    </w:p>
    <w:p>
      <w:r>
        <w:t xml:space="preserve">(2) Zum Zweck der Vorbereitung und Durchführung der Überwachung nach § 12 Abs. 4 und 5 sowie der Beurteilung der Zuverlässigkeit des Unternehmers und der Verkehrsleiter gilt Absatz 1 entsprechend für abgeschlossene Bußgeldverfahren wegen Zuwiderhandlungen nach § 19, die in einem Unternehmen mit Sitz im Inland begangen wurden. Über diese Verfahren übermitteln die zuständigen Verwaltungsbehörden im Sinne des § 36 Abs. 1 Nr. 1 des Gesetzes über Ordnungswidrigkeiten dem Bundesamt die Daten nach Absatz 1 Satz 1.</w:t>
      </w:r>
    </w:p>
    <w:p>
      <w:r>
        <w:t xml:space="preserve">(2a) Unter der Voraussetzung, dass die Ordnungswidrigkeit in einem Unternehmen mit Sitz im Inland begangen wurde und die Geldbuße bis zu zweihundert Euro beträgt, gilt zum Zweck der Beurteilung der Zuverlässigkeit des Unternehmers und der Verkehrsleiter Absatz 1 entsprechend für abgeschlossene Bußgeldverfahren wegen Zuwiderhandlungen, die aufgeführt sind in Anhang I der Verordnung (EU) 2016/403 in der Fassung vom 2. Mai 2022. Über diese Verfahren übermitteln die zuständigen Verwaltungsbehörden nach § 36 Absatz 1 Nummer 1 des Gesetzes über Ordnungswidrigkeiten dem Bundesamt die Daten nach Absatz 1 Satz 1.</w:t>
      </w:r>
    </w:p>
    <w:p>
      <w:r>
        <w:t xml:space="preserve">(3) Zur Überprüfung der Zuverlässigkeit des Unternehmers oder der Verkehrsleiter erhalten die nach Landesrecht zuständigen Behörden Auskunft aus der Datei über abgeschlossene Bußgeldverfahren, soweit dies zur Erfüllung dieser Aufgabe erforderlich ist.</w:t>
      </w:r>
    </w:p>
    <w:p>
      <w:r>
        <w:t xml:space="preserve">(4) Das Bundesamt übermittelt die Daten nach Absatz 1 Satz 1</w:t>
      </w:r>
    </w:p>
    <w:p>
      <w:pPr>
        <w:ind w:left="420"/>
      </w:pPr>
      <w:r>
        <w:t xml:space="preserve">1. an ausländische öffentliche Stellen, soweit dies für die Entscheidung über den Zugang zum Beruf des Güter- und Personenkraftverkehrsunternehmers erforderlich ist,</w:t>
      </w:r>
    </w:p>
    <w:p>
      <w:pPr>
        <w:ind w:left="420"/>
      </w:pPr>
      <w:r>
        <w:t xml:space="preserve">1a. bei Verstößen gegen Vorschriften zur Verhinderung illegaler Beschäftigung und Vorschriften für die Sozialversicherung an die Bundesagentur für Arbeit, die Hauptzollämter, die Einzugsstellen und die Träger der Rentenversicherung sowie die Ausländerbehörden, soweit dies zur Vorbereitung und Durchführung weiterer Ermittlungen, insbesondere von Betriebskontrollen, erforderlich ist,</w:t>
      </w:r>
    </w:p>
    <w:p>
      <w:pPr>
        <w:ind w:left="420"/>
      </w:pPr>
      <w:r>
        <w:t xml:space="preserve">2. auf Ersuchen an Gerichte und die Behörden, die hinsichtlich der in § 11 genannten Aufgaben Verwaltungsbehörde nach § 36 Abs. 1 Nr. 1 des Gesetzes über Ordnungswidrigkeiten sind, soweit dies zur Verfolgung und Ahndung von Ordnungswidrigkeiten erforderlich ist.</w:t>
      </w:r>
    </w:p>
    <w:p>
      <w:r>
        <w:t xml:space="preserve">(5) Die Übermittlung an ausländische öffentliche Stellen nach Absatz 4 Nr. 1 unterbleibt, soweit Grund zu der Annahme besteht, daß durch sie gegen den Zweck eines deutschen Gesetzes verstoßen würde. Sie unterbleibt außerdem, wenn durch sie schutzwürdige Interessen der betroffenen Person beeinträchtigt würden, insbesondere wenn im Empfängerland ein angemessener Datenschutzstandard nicht gewährleistet ist. Die ausländische öffentliche Stelle ist darauf hinzuweisen, daß sie die nach Absatz 4 Nr. 1 übermittelten Daten nur zu dem Zweck nutzen darf, zu dem sie übermittelt wurden.</w:t>
      </w:r>
    </w:p>
    <w:p>
      <w:r>
        <w:t xml:space="preserve">(6) Eine Übermittlung nach Absatz 4 Nummer 1a und 2 an inländische öffentliche Stellen unterbleibt, soweit das schutzwürdige Interesse der betroffenen Person am Ausschluß der Übermittlung das öffentliche Interesse an der Übermittlung überwiegt. Die inländische öffentliche Stelle darf die nach Absatz 4 übermittelten Daten nur für den Zweck verarbeiten, zu dessen Erfüllung sie übermittelt wurden.</w:t>
      </w:r>
    </w:p>
    <w:p>
      <w:r>
        <w:t xml:space="preserve">(7) Erweisen sich übermittelte Daten als unrichtig, so ist der Empfänger unverzüglich zu unterrichten, wenn dies zur Wahrung schutzwürdiger Interessen der betroffenen Person erforderlich ist.</w:t>
      </w:r>
    </w:p>
    <w:p>
      <w:r>
        <w:t xml:space="preserve">(8) Das Bundesamt hat die nach Absatz 1 Satz 1 gespeicherten Daten zwei Jahre nach dem Eintritt der Rechtskraft des Bußgeldbescheides oder der gerichtlichen Entscheidung zu löschen, wenn in dieser Zeit keine weiteren Eintragungen im Sinne des Absatzes 1 Satz 1 Nr. 4 hinzugekommen sind. Sie sind spätestens fünf Jahre nach ihrer Speicherung zu löschen.</w:t>
      </w:r>
    </w:p>
    <w:p>
      <w:r>
        <w:t xml:space="preserve">(9) Das Bundesministerium für Verkehr wird ermächtigt, durch Rechtsverordnung mit Zustimmung des Bundesrates die Einzelheiten zur Führung der Datei über abgeschlossene Bußgeldverfahren zu regeln, insbesondere</w:t>
      </w:r>
    </w:p>
    <w:p>
      <w:pPr>
        <w:ind w:left="420"/>
      </w:pPr>
      <w:r>
        <w:t xml:space="preserve">1. zum Verfahren der Übermittlung von Daten an und durch das Bundesamt nach den Absätzen 2 und 2a,</w:t>
      </w:r>
    </w:p>
    <w:p>
      <w:pPr>
        <w:ind w:left="420"/>
      </w:pPr>
      <w:r>
        <w:t xml:space="preserve">2. über Zugriffsrechte und das Verfahren der Erteilung von Auskünften,</w:t>
      </w:r>
    </w:p>
    <w:p>
      <w:pPr>
        <w:ind w:left="420"/>
      </w:pPr>
      <w:r>
        <w:t xml:space="preserve">3. zu den erforderlichen technischen und organisatorischen Maßnahmen des Bundesamtes nach den Artikeln 24, 25 und 32 der Verordnung (EU) 2016/679 sowie</w:t>
      </w:r>
    </w:p>
    <w:p>
      <w:pPr>
        <w:ind w:left="420"/>
      </w:pPr>
      <w:r>
        <w:t xml:space="preserve">4. zu den Protokollierungspflichten des Bundesamtes.</w:t>
      </w:r>
    </w:p>
    <w:p>
      <w:r>
        <w:rPr>
          <w:color w:val="555555"/>
          <w:sz w:val="17"/>
        </w:rPr>
        <w:t xml:space="preserve">Zitiervorschlag: § 16 GüKG 1998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https://recht.nulegal.eu/gesetze/G%C3%BCKG%201998/16</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16 GüKG 1998</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