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GärtnAusbV — Berichtsheft</w:t>
      </w:r>
    </w:p>
    <w:p>
      <w:r>
        <w:rPr>
          <w:color w:val="555555"/>
          <w:sz w:val="18"/>
        </w:rPr>
        <w:t xml:space="preserve">Verordnung über die Berufsausbildung zum Gärtner/zur Gärtnerin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Auszubildende hat ein Berichtsheft in Form eines Ausbildungsnachweises zu führen. Ihm ist Gelegenheit zu geben, das Berichtsheft während der Ausbildungszeit zu führen. Der Ausbildende hat das Berichtsheft regelmäßig durchzusehen.</w:t>
      </w:r>
    </w:p>
    <w:p>
      <w:r>
        <w:rPr>
          <w:color w:val="555555"/>
          <w:sz w:val="17"/>
        </w:rPr>
        <w:t xml:space="preserve">Zitiervorschlag: § 7 GärtnAusbV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https://recht.nulegal.eu/gesetze/G%C3%A4rtnAusbV/7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