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GÜVO (Bayern)</w:t>
      </w:r>
    </w:p>
    <w:p>
      <w:r>
        <w:rPr>
          <w:color w:val="555555"/>
          <w:sz w:val="18"/>
        </w:rPr>
        <w:t xml:space="preserve">Gebäudeübernahmeverordnung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8 Abs. 9 Satz 2 des Gesetzes über die Landesvermessung und das Liegenschaftskataster – Vermessungs- und Katastergesetz – VermKatG (BayRS 219-1-F), zuletzt geändert durch Art. 7 des Gesetzes vom 26. Juli 2005 (GVBl S. 287), erlässt das Bayerische Staatsministerium der Finanzen folgende Verordnung:</w:t>
      </w:r>
    </w:p>
    <w:p>
      <w:r>
        <w:rPr>
          <w:color w:val="555555"/>
          <w:sz w:val="17"/>
        </w:rPr>
        <w:t xml:space="preserve">Zitiervorschlag: Eingangsformel GÜVO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https://recht.nulegal.eu/gesetze/G%C3%9CVO/eingangsformel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