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GÜVO (Bayern) — Grundsätzliche Übernahmevoraussetzungen</w:t>
      </w:r>
    </w:p>
    <w:p>
      <w:r>
        <w:rPr>
          <w:color w:val="555555"/>
          <w:sz w:val="18"/>
        </w:rPr>
        <w:t xml:space="preserve">Gebäudeübernahmeverordnung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Ergebnisse der Gebäudevermessung der Antragsteller sind in das Liegenschaftskataster zu übernehmen, wenn</w:t>
      </w:r>
    </w:p>
    <w:p>
      <w:r>
        <w:t xml:space="preserve">1. die untere Vermessungsbehörde dem Antrag nach § 4 zugestimmt hat,</w:t>
      </w:r>
    </w:p>
    <w:p>
      <w:r>
        <w:t xml:space="preserve">2. die Frist nach § 4 Abs. 5 nicht abgelaufen ist und</w:t>
      </w:r>
    </w:p>
    <w:p>
      <w:r>
        <w:t xml:space="preserve">3. die weiteren Voraussetzungen nach §§ 6 bis 11 gegeben sind.</w:t>
      </w:r>
    </w:p>
    <w:p>
      <w:r>
        <w:rPr>
          <w:color w:val="555555"/>
          <w:sz w:val="17"/>
        </w:rPr>
        <w:t xml:space="preserve">Zitiervorschlag: § 5 GÜVO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https://recht.nulegal.eu/gesetze/G%C3%9CVO/5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