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GÜVO (Bayern) — Sachliche Voraussetzungen</w:t>
      </w:r>
    </w:p>
    <w:p>
      <w:r>
        <w:rPr>
          <w:color w:val="555555"/>
          <w:sz w:val="18"/>
        </w:rPr>
        <w:t xml:space="preserve">Gebäudeübernahmeverordnung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Antragsteller müssen das Bauvorhaben vor seiner Errichtung vermessungstechnisch betreut haben. Dies ist insbesondere der Fall, wenn die Antragsteller zur Errichtung des Gebäudes die Arbeiten nach Art. 68 Abs. 7 der Bayerischen Bauordnung durchgeführt haben oder durchführen.</w:t>
      </w:r>
    </w:p>
    <w:p>
      <w:r>
        <w:t xml:space="preserve">(2) Vermessung und Koordinierung des Gebäudegrundrisses müssen in Bezug zu den rechtmäßigen Grenzen der von der Gebäudevermessung betroffenen Grundstücke möglich sein. Hierzu müssen die Grenzzeichen der maßgeblichen Grundstücksgrenzen entweder vorhanden oder durch amtliche Bezugspunkte nach dem Prinzip der Nachbarschaft örtlich mit der im Liegenschaftskataster vorgeschriebenen Genauigkeit repräsentiert sein. Die Herstellung des Bezugs des Gebäudes zur rechtmäßigen Grundstücksgrenze ist Aufgabe der das Liegenschaftskataster führenden Behörde (Art. 12 Abs. 4 VermKatG).</w:t>
      </w:r>
    </w:p>
    <w:p>
      <w:r>
        <w:rPr>
          <w:color w:val="555555"/>
          <w:sz w:val="17"/>
        </w:rPr>
        <w:t xml:space="preserve">Zitiervorschlag: § 3 GÜVO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https://recht.nulegal.eu/gesetze/G%C3%9CVO/3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