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GÜVO (Bayern) — In-Kraft-Treten</w:t>
      </w:r>
    </w:p>
    <w:p>
      <w:r>
        <w:rPr>
          <w:color w:val="555555"/>
          <w:sz w:val="18"/>
        </w:rPr>
        <w:t xml:space="preserve">Gebäudeübernahmeverordnung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November 2005 in Kraft.</w:t>
      </w:r>
    </w:p>
    <w:p>
      <w:r>
        <w:rPr>
          <w:color w:val="555555"/>
          <w:sz w:val="17"/>
        </w:rPr>
        <w:t xml:space="preserve">Zitiervorschlag: § 13 GÜVO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https://recht.nulegal.eu/gesetze/G%C3%9CVO/13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