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GÜVO (Bayern) — Gegenstand</w:t>
      </w:r>
    </w:p>
    <w:p>
      <w:r>
        <w:rPr>
          <w:color w:val="555555"/>
          <w:sz w:val="18"/>
        </w:rPr>
        <w:t xml:space="preserve">Gebäudeübernahmeverordnung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regelt die Übernahme von Vermessungen bei Veränderungen im Bestand der Gebäude im Sinne von Art. 8 Abs. 3 des Vermessungs- und Katastergesetzes – VermKatG (Gebäudevermessungen) und gegebenenfalls von Vermessungen der damit im Zusammenhang stehenden Topographie in das Liegenschaftskataster, die von Privatpersonen, die nicht nach Art. 12 VermKatG zu Katastervermessungen befugt sind, durchgeführt werden.</w:t>
      </w:r>
    </w:p>
    <w:p>
      <w:r>
        <w:rPr>
          <w:color w:val="555555"/>
          <w:sz w:val="17"/>
        </w:rPr>
        <w:t xml:space="preserve">Zitiervorschlag: § 1 GÜVO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https://recht.nulegal.eu/gesetze/G%C3%9CVO/1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