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GÜGKostV</w:t>
      </w:r>
    </w:p>
    <w:p>
      <w:r>
        <w:rPr>
          <w:color w:val="555555"/>
          <w:sz w:val="18"/>
        </w:rPr>
        <w:t xml:space="preserve">Grundstoff-Kostenverordnung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15 Absatz 2 des Grundstoffüberwachungsgesetzes vom 11. März 2008 (BGBl. I S. 306) in Verbindung mit dem 2. Abschnitt des Verwaltungskostengesetzes vom 23. Juni 1970 (BGBl. I S. 821) verordnet das Bundesministerium für Gesundheit im Einvernehmen mit dem Bundesministerium des Innern, dem Bundesministerium der Finanzen und dem Bundesministerium für Wirtschaft und Technologie:</w:t>
      </w:r>
    </w:p>
    <w:p>
      <w:r>
        <w:rPr>
          <w:color w:val="555555"/>
          <w:sz w:val="17"/>
        </w:rPr>
        <w:t xml:space="preserve">Zitiervorschlag: Eingangsformel GÜGKostV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https://recht.nulegal.eu/gesetze/G%C3%9CGKostV/eingangsformel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