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GÜGKostV — Neuerteilung einer Erlaubnis</w:t>
      </w:r>
    </w:p>
    <w:p>
      <w:r>
        <w:rPr>
          <w:color w:val="555555"/>
          <w:sz w:val="18"/>
        </w:rPr>
        <w:t xml:space="preserve">Grundstoff-Kostenverordnung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die Erteilung einer neuen Erlaubnis in den Fällen des Artikels 10 Absatz 2 der Verordnung (EG) Nr. 1277/2005 der Kommission vom 27. Juli 2005 mit Durchführungsvorschriften zu der Verordnung (EG) Nr. 273/2004 des Europäischen Parlaments und des Rates betreffend Drogenausgangsstoffe und zur Verordnung (EG) Nr. 111/2005 des Rates zur Festlegung von Vorschriften für die Überwachung des Handels mit Drogenausgangsstoffen zwischen der Gemeinschaft und Drittländern (ABl. L 202 vom 3.8.2005, S. 7) in ihrer jeweils geltenden Fassung wird je Grundstoff und je Betriebsstätte eine Gebühr in Höhe von 85 Euro erhoben.</w:t>
      </w:r>
    </w:p>
    <w:p>
      <w:r>
        <w:rPr>
          <w:color w:val="555555"/>
          <w:sz w:val="17"/>
        </w:rPr>
        <w:t xml:space="preserve">Zitiervorschlag: § 3 GÜGKostV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