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GÜG 2008 — Daten beim Bundesinstitut für Arzneimittel und Medizinprodukte</w:t>
      </w:r>
    </w:p>
    <w:p>
      <w:r>
        <w:rPr>
          <w:color w:val="555555"/>
          <w:sz w:val="18"/>
        </w:rPr>
        <w:t xml:space="preserve">Grundstoffüberwachungsgesetz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Bundesinstitut für Arzneimittel und Medizinprodukte darf die in den Meldungen nach den Artikeln 17 und 18 der Verordnung (EG) Nr. 1277/2005 enthaltenen personenbezogenen Daten nur verwenden, um Straftaten nach § 19 zu verhindern und Ordnungswidrigkeiten nach § 20 zu verhindern und zu verfolgen.</w:t>
      </w:r>
    </w:p>
    <w:p>
      <w:r>
        <w:t xml:space="preserve">(2) Soweit es zur Verhinderung und Verfolgung der in § 4 Abs. 2 Satz 3 genannten Straftaten und Ordnungswidrigkeiten erforderlich ist, darf das Bundesinstitut für Arzneimittel und Medizinprodukte die in den Meldungen nach den Artikeln 17 und 18 der Verordnung (EG) Nr. 1277/2005 enthaltenen personenbezogenen Daten übermitteln an</w:t>
      </w:r>
    </w:p>
    <w:p>
      <w:pPr>
        <w:ind w:left="420"/>
      </w:pPr>
      <w:r>
        <w:t xml:space="preserve">1. das Bundeskriminalamt zur Erfüllung seiner Aufgaben nach den §§ 2 bis 4 Abs. 1 und 2 des Bundeskriminalamtgesetzes,</w:t>
      </w:r>
    </w:p>
    <w:p>
      <w:pPr>
        <w:ind w:left="420"/>
      </w:pPr>
      <w:r>
        <w:t xml:space="preserve">2. das Zollkriminalamt zur Erfüllung seiner Aufgaben nach den §§ 3 und 4 des Zollfahndungsdienstgesetzes und</w:t>
      </w:r>
    </w:p>
    <w:p>
      <w:pPr>
        <w:ind w:left="420"/>
      </w:pPr>
      <w:r>
        <w:t xml:space="preserve">3. die zuständige Zollbehörde zur Erfüllung ihrer Aufgaben nach § 5 Abs. 2 und zur Verhinderung und Verfolgung von Straftaten und Ordnungswidrigkeiten.</w:t>
      </w:r>
    </w:p>
    <w:p>
      <w:r>
        <w:rPr>
          <w:color w:val="555555"/>
          <w:sz w:val="17"/>
        </w:rPr>
        <w:t xml:space="preserve">Zitiervorschlag: § 9 GÜG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https://recht.nulegal.eu/gesetze/G%C3%9CG%202008/9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