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 115 — Abweichungsrechte bei Nachträgen zum Haushaltsgesetz und zum Haushaltsplan</w:t>
      </w:r>
    </w:p>
    <w:p>
      <w:r>
        <w:rPr>
          <w:color w:val="555555"/>
          <w:sz w:val="18"/>
        </w:rPr>
        <w:t xml:space="preserve">Artikel 115-Gesetz</w:t>
      </w:r>
    </w:p>
    <w:p>
      <w:r>
        <w:rPr>
          <w:color w:val="555555"/>
          <w:sz w:val="18"/>
        </w:rPr>
        <w:t xml:space="preserve">Stand: 10.06.2019 (konsolidierte Textfassung, kein amtliches Inkrafttretensdatum)</w:t>
      </w:r>
    </w:p>
    <w:p>
      <w:r>
        <w:t xml:space="preserve">Bei Nachträgen zum Haushaltsgesetz und zum Haushaltsplan kann die nach § 2 Absatz 1 Satz 2 ermittelte zulässige Kreditaufnahme bis zu einem Betrag in Höhe von 3 Prozent der veranschlagten Steuereinnahmen überschritten werden. In diesem Nachtrag dürfen keine neuen Maßnahmen veranschlagt werden, die zu Mehrausgaben oder zu Mindereinnahmen führen. Zur Ermittlung der Konjunkturkomponente wird ausschließlich die erwartete wirtschaftliche Entwicklung aktualisiert. Die Regelungen des § 7 bleiben unberührt.</w:t>
      </w:r>
    </w:p>
    <w:p>
      <w:r>
        <w:rPr>
          <w:color w:val="555555"/>
          <w:sz w:val="17"/>
        </w:rPr>
        <w:t xml:space="preserve">Zitiervorschlag: § 8 G 115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https://recht.nulegal.eu/gesetze/G%20115/8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