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 115 — Kontrollkonto</w:t>
      </w:r>
    </w:p>
    <w:p>
      <w:r>
        <w:rPr>
          <w:color w:val="555555"/>
          <w:sz w:val="18"/>
        </w:rPr>
        <w:t xml:space="preserve">Artikel 115-Gesetz</w:t>
      </w:r>
    </w:p>
    <w:p>
      <w:r>
        <w:rPr>
          <w:color w:val="555555"/>
          <w:sz w:val="18"/>
        </w:rPr>
        <w:t xml:space="preserve">Stand: 03.10.2025 (konsolidierte Textfassung, kein amtliches Inkrafttretensdatum)</w:t>
      </w:r>
    </w:p>
    <w:p>
      <w:r>
        <w:t xml:space="preserve">(1) Weicht die tatsächliche Kreditaufnahme von dem Betrag ab, der sich nach Abschluss des betreffenden Haushaltsjahres auf der Grundlage der tatsächlichen Wirkung der konjunkturellen Entwicklung auf den Haushalt nach § 2 als Obergrenze ergibt, wird diese Abweichung auf einem Verrechnungskonto (Kontrollkonto) verbucht. Für die Berechnung des Abzugs von den zu berücksichtigenden Einnahmen aus Krediten aufgrund der Bereichsausnahme nach § 1a sind die im Haushaltsjahr tatsächlich geleisteten Ausgaben maßgeblich. Soweit von der Ausnahmeregelung des Artikels 115 Absatz 2 Satz 7 des Grundgesetzes Gebrauch gemacht worden ist, ist der zu verbuchende Betrag um die aufgrund des entsprechenden Beschlusses erhöhte Nettokreditaufnahme zu bereinigen. Die zu verbuchende Abweichung wird jährlich zum 1. März des dem Haushaltsjahr folgenden Jahres festgestellt und im weiteren Jahresverlauf aktualisiert, abschließend zum 1. September des dem Haushaltsjahr folgenden Jahres.</w:t>
      </w:r>
    </w:p>
    <w:p>
      <w:r>
        <w:t xml:space="preserve">(2) Bei negativem Saldo ist auf einen Ausgleich des Kontrollkontos hinzuwirken. Der negative Saldo des Kontrollkontos soll einen Schwellenwert von 1,5 Prozent im Verhältnis zum nominalen Bruttoinlandsprodukt nicht überschreiten. Das maßgebliche Bruttoinlandsprodukt bestimmt sich nach § 4.</w:t>
      </w:r>
    </w:p>
    <w:p>
      <w:r>
        <w:t xml:space="preserve">(3) Ist der Saldo des Kontrollkontos negativ und überschreitet der Betrag des Saldos 1 Prozent im Verhältnis zum nominalen Bruttoinlandsprodukt, verringert sich die Kreditermächtigung nach § 2 Absatz 1 Satz 2 jeweils im nächsten Jahr um den überschießenden Betrag, höchstens aber um 0,35 Prozent im Verhältnis zum nominalen Bruttoinlandsprodukt; die Verringerung wird nur wirksam in Jahren mit positiver Veränderung der Produktionslücke.</w:t>
      </w:r>
    </w:p>
    <w:p>
      <w:r>
        <w:rPr>
          <w:color w:val="555555"/>
          <w:sz w:val="17"/>
        </w:rPr>
        <w:t xml:space="preserve">Zitiervorschlag: § 7 G 115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https://recht.nulegal.eu/gesetze/G%20115/7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