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G 115 — Konjunkturkomponente</w:t>
      </w:r>
    </w:p>
    <w:p>
      <w:r>
        <w:rPr>
          <w:color w:val="555555"/>
          <w:sz w:val="18"/>
        </w:rPr>
        <w:t xml:space="preserve">Artikel 115-Gesetz</w:t>
      </w:r>
    </w:p>
    <w:p>
      <w:r>
        <w:rPr>
          <w:color w:val="555555"/>
          <w:sz w:val="18"/>
        </w:rPr>
        <w:t xml:space="preserve">Stand: 10.06.2019 (konsolidierte Textfassung, kein amtliches Inkrafttretensdatum)</w:t>
      </w:r>
    </w:p>
    <w:p>
      <w:r>
        <w:t xml:space="preserve">(1) Die Höhe der zu veranschlagenden konjunkturell bedingten Einnahmen aus Krediten oder der Haushaltsüberschüsse nach § 2 Absatz 2 wird aus der Abweichung der erwarteten wirtschaftlichen Entwicklung von der konjunkturellen Normallage abgeleitet.</w:t>
      </w:r>
    </w:p>
    <w:p>
      <w:r>
        <w:t xml:space="preserve">(2) Eine Abweichung der wirtschaftlichen Entwicklung von der konjunkturellen Normallage liegt vor, wenn eine Unter- oder Überauslastung der gesamtwirtschaftlichen Produktionskapazitäten erwartet wird (Produktionslücke). Dies ist der Fall, wenn das auf der Grundlage eines Konjunkturbereinigungsverfahrens zu schätzende Produktionspotenzial vom erwarteten Bruttoinlandsprodukt für das Haushaltsjahr, für das der Haushalt aufgestellt wird, abweicht.</w:t>
      </w:r>
    </w:p>
    <w:p>
      <w:r>
        <w:t xml:space="preserve">(3) Die Konjunkturkomponente ergibt sich als Produkt aus der Produktionslücke und der Budgetsensitivität, die angibt, wie sich die Einnahmen und Ausgaben des Bundes bei einer Veränderung der gesamtwirtschaftlichen Aktivität verändern.</w:t>
      </w:r>
    </w:p>
    <w:p>
      <w:r>
        <w:t xml:space="preserve">(4) Das Bundesministerium der Finanzen legt im Einvernehmen mit dem Bundesministerium für Wirtschaft und Energie die Einzelheiten des Verfahrens zur Bestimmung der Konjunkturkomponente in Übereinstimmung mit dem im Rahmen des Europäischen Stabilitäts- und Wachstumspaktes angewandten Konjunkturbereinigungsverfahren durch Rechtsverordnung ohne Zustimmung des Bundesrates fest. Das Verfahren ist regelmäßig unter Berücksichtigung des Standes der Wissenschaft zu überprüfen und fortzuentwickeln.</w:t>
      </w:r>
    </w:p>
    <w:p>
      <w:r>
        <w:rPr>
          <w:color w:val="555555"/>
          <w:sz w:val="17"/>
        </w:rPr>
        <w:t xml:space="preserve">Zitiervorschlag: § 5 G 115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https://recht.nulegal.eu/gesetze/G%20115/5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