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 115 — Grundsätze für die Veranschlagung von Kreditaufnahmen zur Deckung von Ausgaben</w:t>
      </w:r>
    </w:p>
    <w:p>
      <w:r>
        <w:rPr>
          <w:color w:val="555555"/>
          <w:sz w:val="18"/>
        </w:rPr>
        <w:t xml:space="preserve">Artikel 115-Gesetz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Einnahmen und Ausgaben sind bei der Veranschlagung in einer konjunkturellen Normallage grundsätzlich ohne Einnahmen aus Krediten auszugleichen; Einnahmen und Ausgaben sind um finanzielle Transaktionen zu bereinigen. Eine Kreditaufnahme von bis zu 0,35 Prozent im Verhältnis zum nominalen Bruttoinlandsprodukt ist als Strukturkomponente zulässig.</w:t>
      </w:r>
    </w:p>
    <w:p>
      <w:r>
        <w:t xml:space="preserve">(2) Wird für das Haushaltsjahr eine von der Normallage abweichende wirtschaftliche Entwicklung erwartet, verändert sich die Höchstgrenze der zu veranschlagenden Einnahmen aus Krediten nach Absatz 1 als Konjunkturkomponente um diejenigen Einnahmen aus Krediten oder um die Haushaltsüberschüsse, die der erwarteten Wirkung der konjunkturellen Entwicklung auf den Haushalt entsprechen.</w:t>
      </w:r>
    </w:p>
    <w:p>
      <w:r>
        <w:rPr>
          <w:color w:val="555555"/>
          <w:sz w:val="17"/>
        </w:rPr>
        <w:t xml:space="preserve">Zitiervorschlag: § 2 G 115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https://recht.nulegal.eu/gesetze/G%20115/2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