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 115 — Kreditermächtigungen</w:t>
      </w:r>
    </w:p>
    <w:p>
      <w:r>
        <w:rPr>
          <w:color w:val="555555"/>
          <w:sz w:val="18"/>
        </w:rPr>
        <w:t xml:space="preserve">Artikel 115-Gesetz</w:t>
      </w:r>
    </w:p>
    <w:p>
      <w:r>
        <w:rPr>
          <w:color w:val="555555"/>
          <w:sz w:val="18"/>
        </w:rPr>
        <w:t xml:space="preserve">Stand: 10.06.2019 (konsolidierte Textfassung, kein amtliches Inkrafttretensdatum)</w:t>
      </w:r>
    </w:p>
    <w:p>
      <w:r>
        <w:t xml:space="preserve">Das Haushaltsgesetz bestimmt, bis zu welcher Höhe das Bundesministerium der Finanzen Kredite aufnehmen darf</w:t>
      </w:r>
    </w:p>
    <w:p>
      <w:pPr>
        <w:ind w:left="420"/>
      </w:pPr>
      <w:r>
        <w:t xml:space="preserve">1. zur Deckung von Ausgaben,</w:t>
      </w:r>
    </w:p>
    <w:p>
      <w:pPr>
        <w:ind w:left="420"/>
      </w:pPr>
      <w:r>
        <w:t xml:space="preserve">2. zur Aufrechterhaltung einer ordnungsmäßigen Kassenwirtschaft (Kassenverstärkungskredite).</w:t>
      </w:r>
    </w:p>
    <w:p>
      <w:r>
        <w:t xml:space="preserve">Soweit diese Kassenverstärkungskredite zurückgezahlt sind, kann die Ermächtigung wiederholt in Anspruch genommen werden. Kassenverstärkungskredite dürfen nicht später als sechs Monate nach Ablauf des Haushaltsjahres, für das sie aufgenommen worden sind, fällig werden.</w:t>
      </w:r>
    </w:p>
    <w:p>
      <w:r>
        <w:rPr>
          <w:color w:val="555555"/>
          <w:sz w:val="17"/>
        </w:rPr>
        <w:t xml:space="preserve">Zitiervorschlag: § 1 G 115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https://recht.nulegal.eu/gesetze/G%20115/1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