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FzgLiefgMeldV</w:t>
      </w:r>
    </w:p>
    <w:p>
      <w:r>
        <w:rPr>
          <w:color w:val="555555"/>
          <w:sz w:val="18"/>
        </w:rPr>
        <w:t xml:space="preserve">Fahrzeuglieferungs-Meldepflichtverordnung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18c Satz 1 und 2 Nr. 1 bis 4 des Umsatzsteuergesetzes in der Fassung der Bekanntmachung vom 21. Februar 2005 (BGBl. I S. 386) verordnet das Bundesministerium der Finanzen:</w:t>
      </w:r>
    </w:p>
    <w:p>
      <w:r>
        <w:rPr>
          <w:color w:val="555555"/>
          <w:sz w:val="17"/>
        </w:rPr>
        <w:t xml:space="preserve">Zitiervorschlag: Eingangsformel FzgLiefgMeldV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https://recht.nulegal.eu/gesetze/FzgLiefgMeldV/eingangsformel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