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FzgLiefgMeldV — Inkrafttreten</w:t>
      </w:r>
    </w:p>
    <w:p>
      <w:r>
        <w:rPr>
          <w:color w:val="555555"/>
          <w:sz w:val="18"/>
        </w:rPr>
        <w:t xml:space="preserve">Fahrzeuglieferungs-Meldepflichtverordnung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Juli 2010 in Kraft.</w:t>
      </w:r>
    </w:p>
    <w:p>
      <w:r>
        <w:rPr>
          <w:color w:val="555555"/>
          <w:sz w:val="17"/>
        </w:rPr>
        <w:t xml:space="preserve">Zitiervorschlag: § 5 FzgLiefgMeldV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https://recht.nulegal.eu/gesetze/FzgLiefgMeldV/5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