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FzgLiefgMeldV — Ordnungswidrigkeit</w:t>
      </w:r>
    </w:p>
    <w:p>
      <w:r>
        <w:rPr>
          <w:color w:val="555555"/>
          <w:sz w:val="18"/>
        </w:rPr>
        <w:t xml:space="preserve">Fahrzeuglieferungs-Meldepflichtverordnung</w:t>
      </w:r>
    </w:p>
    <w:p>
      <w:r>
        <w:rPr>
          <w:color w:val="555555"/>
          <w:sz w:val="18"/>
        </w:rPr>
        <w:t xml:space="preserve">Stand: 31.12.2025 (konsolidierte Textfassung, kein amtliches Inkrafttretensdatum)</w:t>
      </w:r>
    </w:p>
    <w:p>
      <w:r>
        <w:t xml:space="preserve">Ordnungswidrig im Sinne des § 26a Absatz 2 Nummer 6 des Umsatzsteuergesetzes handelt, wer vorsätzlich oder leichtfertig entgegen § 1 Abs. 1 Satz 1 eine Meldung nicht, nicht richtig, nicht vollständig oder nicht rechtzeitig macht.</w:t>
      </w:r>
    </w:p>
    <w:p>
      <w:r>
        <w:rPr>
          <w:color w:val="555555"/>
          <w:sz w:val="17"/>
        </w:rPr>
        <w:t xml:space="preserve">Zitiervorschlag: § 4 FzgLiefgMeldV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https://recht.nulegal.eu/gesetze/FzgLiefgMeldV/4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