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FzgLiefgMeldV — Meldepflichtiger</w:t>
      </w:r>
    </w:p>
    <w:p>
      <w:r>
        <w:rPr>
          <w:color w:val="555555"/>
          <w:sz w:val="18"/>
        </w:rPr>
        <w:t xml:space="preserve">Fahrzeuglieferungs-Meldepflichtverordnung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Zur Meldung verpflichtet ist der Unternehmer (§ 2 des Umsatzsteuergesetzes) oder Fahrzeuglieferer (§ 2a des Umsatzsteuergesetzes), der die Lieferung des Fahrzeugs ausführt.</w:t>
      </w:r>
    </w:p>
    <w:p>
      <w:r>
        <w:rPr>
          <w:color w:val="555555"/>
          <w:sz w:val="17"/>
        </w:rPr>
        <w:t xml:space="preserve">Zitiervorschlag: § 3 FzgLiefgMeldV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https://recht.nulegal.eu/gesetze/FzgLiefgMeldV/3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