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FzgLackAusbV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und des § 25 Abs. 1 in Verbindung mit Abs. 2 Satz 1 der Handwerksordnung in der Fassung der Bekanntmachung vom 24. September 1998 (BGBl. I S. 3074), von dem Absatz 1 durch Artikel 135 Nr. 3 der Verordnung vom 29. Oktober 2001 (BGBl. I S. 2785) geändert worden ist, jeweils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