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FzgLackAusbV — Berufsausbildung in überbetrieblichen Ausbildungsstätten</w:t>
      </w:r>
    </w:p>
    <w:p>
      <w:r>
        <w:rPr>
          <w:color w:val="555555"/>
          <w:sz w:val="18"/>
        </w:rPr>
        <w:t xml:space="preserve">Verordnung über die Berufsausbildung zum Fahrzeuglackierer/zur Fahrzeuglackiererin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ist entsprechend dem Ausbildungsrahmenplan (Anlage) während einer Dauer von acht Wochen wie folgt in überbetrieblichen Ausbildungsstätten zu ergänzen und zu vertiefen, sofern dies nicht im Ausbildungsbetrieb erfolgen kann:</w:t>
      </w:r>
    </w:p>
    <w:p>
      <w:pPr>
        <w:ind w:left="420"/>
      </w:pPr>
      <w:r>
        <w:t xml:space="preserve">1. im ersten Ausbildungsjahr der Berufsausbildung in zwei Wochen Fertigkeiten und Kenntnisse aus dem Abschnitt I, laufende Nummern 9 bis 12 der Anlage,</w:t>
      </w:r>
    </w:p>
    <w:p>
      <w:pPr>
        <w:ind w:left="420"/>
      </w:pPr>
      <w:r>
        <w:t xml:space="preserve">2. im zweiten Ausbildungsjahr der Berufsausbildung in drei Wochen Fertigkeiten und Kenntnisse aus dem Abschnitt II, laufende Nummern 7 bis 10 der Anlage,</w:t>
      </w:r>
    </w:p>
    <w:p>
      <w:pPr>
        <w:ind w:left="420"/>
      </w:pPr>
      <w:r>
        <w:t xml:space="preserve">3. im dritten Ausbildungsjahr der Berufsausbildung in drei Wochen Fertigkeiten und Kenntnisse aus dem Abschnitt II, laufende Nummern 8 bis 10 der Anlage.</w:t>
      </w:r>
    </w:p>
    <w:p>
      <w:r>
        <w:rPr>
          <w:color w:val="555555"/>
          <w:sz w:val="17"/>
        </w:rPr>
        <w:t xml:space="preserve">Zitiervorschlag: § 4 FzgLackAusbV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https://recht.nulegal.eu/gesetze/FzgLackAusbV/4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