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FzTV</w:t>
      </w:r>
    </w:p>
    <w:p>
      <w:r>
        <w:rPr>
          <w:color w:val="555555"/>
          <w:sz w:val="18"/>
        </w:rPr>
        <w:t xml:space="preserve">Fahrzeugteileverordnung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3 Buchstabe b und Abs. 3 des Straßenverkehrsgesetzes in der im Bundesgesetzblatt Teil III, Gliederungsnummer 9231-1, veröffentlichten bereinigten Fassung, die Eingangsworte in Absatz 1 Nr. 3 zuletzt geändert durch Artikel 1 Nr. 10 Buchstabe a Doppelbuchstabe ee Dreifachbuchstabe aaa des Gesetzes vom 24. April 1998 (BGBl. I S. 747), Absatz 3 eingefügt durch § 70 Abs. 1 Nr. 3 des Gesetzes vom 15. März 1974 (BGBl. I S. 721) und geändert gemäß Artikel 22 Nr. 3 der Verordnung vom 26. November 1986 (BGBl. I S. 2089), verordnet das Bundesministerium für Verkehr, hinsichtlich § 6 Abs. 3 nach Anhörung der zuständigen obersten Landesbehörden:</w:t>
      </w:r>
    </w:p>
    <w:p>
      <w:r>
        <w:rPr>
          <w:color w:val="555555"/>
          <w:sz w:val="17"/>
        </w:rPr>
        <w:t xml:space="preserve">Zitiervorschlag: Eingangsformel FzTV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