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FzTV — Übereinstimmung der Produktion</w:t>
      </w:r>
    </w:p>
    <w:p>
      <w:r>
        <w:rPr>
          <w:color w:val="555555"/>
          <w:sz w:val="18"/>
        </w:rPr>
        <w:t xml:space="preserve">Fahrzeugteileverordnung</w:t>
      </w:r>
    </w:p>
    <w:p>
      <w:r>
        <w:rPr>
          <w:color w:val="555555"/>
          <w:sz w:val="18"/>
        </w:rPr>
        <w:t xml:space="preserve">Stand: 10.06.2019 (konsolidierte Textfassung, kein amtliches Inkrafttretensdatum)</w:t>
      </w:r>
    </w:p>
    <w:p>
      <w:r>
        <w:t xml:space="preserve">(1) Das Kraftfahrt-Bundesamt kann die in den einzelnen Produktionsstätten angewandten Verfahren zur Kontrolle der Übereinstimmung der Produktion (Qualitätssicherungssysteme) überprüfen. Ist ein nach § 2 Abs. 2 Satz 2 zertifiziertes Qualitätssicherungssystem nachgewiesen, so gilt dies nur in begründeten Fällen.</w:t>
      </w:r>
    </w:p>
    <w:p>
      <w:r>
        <w:t xml:space="preserve">(2) Das Kraftfahrt-Bundesamt kann ohne vorherige Ankündigung während der üblichen Geschäftszeiten bei Inhabern der Genehmigung prüfen oder prüfen lassen, ob Fahrzeugteile, deren Bauart amtlich genehmigt ist und die das zugeteilte Prüfzeichen tragen, mit den amtlichen Bauartgenehmigungen übereinstimmen und ob Fahrzeugteile, die in amtlich genehmigter Bauart ausgeführt sein müssen, in Ausführungen feilgeboten werden, an denen das vorgeschriebene Prüfzeichen fehlt oder unbefugt angebracht ist (Produktprüfung). Es kann zu diesem Zweck auch Proben entnehmen oder entnehmen lassen. In den Fällen des § 2 Abs. 1 Satz 4 kann das Kraftfahrt-Bundesamt die Erteilung der Bauartgenehmigung davon abhängig machen, daß die zur Produktprüfung nach Satz 1 notwendigen Maßnahmen ermöglicht werden.</w:t>
      </w:r>
    </w:p>
    <w:p>
      <w:r>
        <w:t xml:space="preserve">(3) Die Kosten der Überprüfung nach Absatz 1 Satz 1 trägt der Inhaber der Genehmigung, wenn ein Verstoß gegen die Vorschriften des § 2 Abs. 2 festgestellt wird. Die Kosten der Proben nach Absatz 2, ihrer Entnahme, ihres Versandes und der Prüfung trägt der Inhaber der Genehmigung, wenn ein Verstoß gegen die Vorschriften über die Bauartgenehmigung oder die Prüfzeichen festgestellt wird.</w:t>
      </w:r>
    </w:p>
    <w:p>
      <w:r>
        <w:rPr>
          <w:color w:val="555555"/>
          <w:sz w:val="17"/>
        </w:rPr>
        <w:t xml:space="preserve">Zitiervorschlag: § 9 FzTV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https://recht.nulegal.eu/gesetze/FzTV/9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