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FzTV — Verwahrung und Rückgabe der Muster und Unterlagen</w:t>
      </w:r>
    </w:p>
    <w:p>
      <w:r>
        <w:rPr>
          <w:color w:val="555555"/>
          <w:sz w:val="18"/>
        </w:rPr>
        <w:t xml:space="preserve">Fahrzeugteileverordnung</w:t>
      </w:r>
    </w:p>
    <w:p>
      <w:r>
        <w:rPr>
          <w:color w:val="555555"/>
          <w:sz w:val="18"/>
        </w:rPr>
        <w:t xml:space="preserve">Stand: 10.06.2019 (konsolidierte Textfassung, kein amtliches Inkrafttretensdatum)</w:t>
      </w:r>
    </w:p>
    <w:p>
      <w:r>
        <w:t xml:space="preserve">(1) Ist die Bauartgenehmigung erteilt worden, so ist je eine Ausfertigung der nach § 3 eingereichten und von der Prüfstelle geprüften und bestätigten Unterlagen beim Kraftfahrt-Bundesamt zu verwahren. Waren nach Anlage 1 zwei oder mehr Muster einzureichen, so hat die Prüfstelle je zwei Muster des genehmigten Fahrzeugteils mit dem Prüfzeichen zu versehen. Ein mit dem Prüfzeichen versehenes Muster ist bei der Prüfstelle zu verwahren, das andere und etwa vorgelegte weitere Muster sowie nicht mehr benötigte Unterlagen sind dem Antragsteller zurückzugeben. Die Prüfstelle hat dem Kraftfahrt-Bundesamt auf Verlangen das dem Hersteller zurückzugebende Muster vorzulegen. In diesem Fall versieht das Kraftfahrt-Bundesamt das Muster mit dem durch die Bauartgenehmigung zugeteilten Prüfzeichen und gibt es dem Antragsteller zurück. Mit Zustimmung des Kraftfahrt-Bundesamtes kann davon abgesehen werden, ein Muster bei der Prüfstelle aufzubewahren. In diesen Fällen hat der Antragsteller auf Verlangen des Kraftfahrt-Bundesamtes oder der Prüfstelle ein Muster oder Teile davon aufzubewahren und dem Kraftfahrt-Bundesamt oder der Prüfstelle auf Anforderung zur Verfügung zu stellen.</w:t>
      </w:r>
    </w:p>
    <w:p>
      <w:r>
        <w:t xml:space="preserve">(2) Ist der Antrag auf Erteilung der Bauartgenehmigung abgelehnt worden, so sind die Muster und auf Antrag auch die sonstigen Unterlagen dem Antragsteller erst dann auszuhändigen, wenn die Ablehnung unanfechtbar geworden ist.</w:t>
      </w:r>
    </w:p>
    <w:p>
      <w:r>
        <w:rPr>
          <w:color w:val="555555"/>
          <w:sz w:val="17"/>
        </w:rPr>
        <w:t xml:space="preserve">Zitiervorschlag: § 8 FzTV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https://recht.nulegal.eu/gesetze/FzTV/8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