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FzTV — Erteilung der Bauartgenehmigung</w:t>
      </w:r>
    </w:p>
    <w:p>
      <w:r>
        <w:rPr>
          <w:color w:val="555555"/>
          <w:sz w:val="18"/>
        </w:rPr>
        <w:t xml:space="preserve">Fahrzeugteileverordnung</w:t>
      </w:r>
    </w:p>
    <w:p>
      <w:r>
        <w:rPr>
          <w:color w:val="555555"/>
          <w:sz w:val="18"/>
        </w:rPr>
        <w:t xml:space="preserve">Stand: 10.06.2019 (konsolidierte Textfassung, kein amtliches Inkrafttretensdatum)</w:t>
      </w:r>
    </w:p>
    <w:p>
      <w:r>
        <w:t xml:space="preserve">(1) Das Kraftfahrt-Bundesamt erteilt die Bauartgenehmigung schriftlich oder elektronisch. In der Bauartgenehmigung werden der genehmigte Typ, das zugeteilte Prüfzeichen sowie Nebenbestimmungen (§ 36 des Verwaltungsverfahrensgesetzes) und, soweit erforderlich, Ausnahmen von den Bestimmungen der Straßenverkehrs-Zulassungs-Ordnung festgelegt.</w:t>
      </w:r>
    </w:p>
    <w:p>
      <w:r>
        <w:t xml:space="preserve">(2) Abweichungen vom genehmigten Typ sind nur zulässig, wenn die Bauartgenehmigung durch einen entsprechenden Nachtrag ergänzt worden ist oder wenn das Kraftfahrt-Bundesamt auf Anfrage schriftlich oder elektronisch erklärt, daß für die vorgesehene Änderung eine Nachtragsgenehmigung nicht erforderlich ist.</w:t>
      </w:r>
    </w:p>
    <w:p>
      <w:r>
        <w:rPr>
          <w:color w:val="555555"/>
          <w:sz w:val="17"/>
        </w:rPr>
        <w:t xml:space="preserve">Zitiervorschlag: § 4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