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FzTV — Zulässigkeit der Bauartgenehmigung</w:t>
      </w:r>
    </w:p>
    <w:p>
      <w:r>
        <w:rPr>
          <w:color w:val="555555"/>
          <w:sz w:val="18"/>
        </w:rPr>
        <w:t xml:space="preserve">Fahrzeugteileverordnung</w:t>
      </w:r>
    </w:p>
    <w:p>
      <w:r>
        <w:rPr>
          <w:color w:val="555555"/>
          <w:sz w:val="18"/>
        </w:rPr>
        <w:t xml:space="preserve">Stand: 15.07.2025 (konsolidierte Textfassung, kein amtliches Inkrafttretensdatum)</w:t>
      </w:r>
    </w:p>
    <w:p>
      <w:r>
        <w:t xml:space="preserve">(1) Für reihenweise zu fertigende oder gefertigte Fahrzeugteile kann die Bauartgenehmigung dem Hersteller nach einer auf seine Kosten vorgenommenen Prüfung allgemein erteilt werden, wenn er die Gewähr für eine zuverlässige Ausübung der durch die Bauartgenehmigung verliehenen Befugnisse bietet. Bei Herstellung eines Typs durch mehrere Beteiligte kann diesen die Bauartgenehmigung gemeinsam erteilt werden. Für Fahrzeugteile, die im Ausland hergestellt worden sind, kann die Bauartgenehmigung erteilt werden</w:t>
      </w:r>
    </w:p>
    <w:p>
      <w:pPr>
        <w:ind w:left="420"/>
      </w:pPr>
      <w:r>
        <w:t xml:space="preserve">1. dem Hersteller oder seinem Beauftragten, wenn die Fahrzeugteile in einem Vertragsstaat des Abkommens über den Europäischen Wirtschaftsraum hergestellt worden sind,</w:t>
      </w:r>
    </w:p>
    <w:p>
      <w:pPr>
        <w:ind w:left="420"/>
      </w:pPr>
      <w:r>
        <w:t xml:space="preserve">2. dem Beauftragten des Herstellers, wenn die Fahrzeugteile zwar nicht in einem Vertragsstaat des Abkommens über den Europäischen Wirtschaftsraum hergestellt worden sind, sie aber in das Inland aus einem Vertragsstaat des Abkommens über den Europäischen Wirtschaftsraum eingeführt wurden,</w:t>
      </w:r>
    </w:p>
    <w:p>
      <w:pPr>
        <w:ind w:left="420"/>
      </w:pPr>
      <w:r>
        <w:t xml:space="preserve">3. in anderen Fällen dem Händler, der seine Berechtigung zum alleinigen Vertrieb der Fahrzeugteile im Inland nachweist.</w:t>
      </w:r>
    </w:p>
    <w:p>
      <w:r>
        <w:t xml:space="preserve">In den Fällen des Satzes 3 Nr. 1 und 2 muß der Beauftragte seinen Sitz in einem Vertragsstaat des Abkommens über den Europäischen Wirtschaftsraum haben. In den Fällen des Satzes 3 Nr. 3 muß der Händler im Inland ansässig sein.</w:t>
      </w:r>
    </w:p>
    <w:p>
      <w:r>
        <w:t xml:space="preserve">(2) Der Antragsteller nach Absatz 1 hat gegenüber dem Kraftfahrt-Bundesamt den Nachweis zu erbringen, daß in bezug auf die Übereinstimmung der reihenweise gefertigten Fahrzeugteile mit dem genehmigten Typ ein ausreichendes Qualitätssicherungssystem zugrunde liegt. Dieses liegt auch vor, wenn es den Grundsätzen der harmonisierten Norm EN ISO 9002 oder einem gleichwertigen Standard entspricht; §§ 19, 20 und 21 des Artikels 1 der Zwanzigsten Verordnung zur Änderung straßenverkehrsrechtlicher Vorschriften (Verordnung über die EG-Typgenehmigung für Fahrzeuge und Fahrzeugteile) vom 9. Dezember 1994 (BGBl. I S. 3755), geändert durch Artikel 2 der Verordnung vom 12. August 1997 (BGBl. I S. 2051), in der jeweils geltenden Fassung, sind entsprechend anzuwenden.</w:t>
      </w:r>
    </w:p>
    <w:p>
      <w:r>
        <w:rPr>
          <w:color w:val="555555"/>
          <w:sz w:val="17"/>
        </w:rPr>
        <w:t xml:space="preserve">Zitiervorschlag: § 2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