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FzTV — Bisherige Genehmigungen</w:t>
      </w:r>
    </w:p>
    <w:p>
      <w:r>
        <w:rPr>
          <w:color w:val="555555"/>
          <w:sz w:val="18"/>
        </w:rPr>
        <w:t xml:space="preserve">Fahrzeugteileverordnung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Allgemeine Bauartgenehmigungen und Einzelgenehmigungen, die vor dem 19. November 1998 erteilt worden sind, bleiben gültig. Die §§ 10 und 14 gelten sinngemäß.</w:t>
      </w:r>
    </w:p>
    <w:p>
      <w:r>
        <w:rPr>
          <w:color w:val="555555"/>
          <w:sz w:val="17"/>
        </w:rPr>
        <w:t xml:space="preserve">Zitiervorschlag: § 15 FzTV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https://recht.nulegal.eu/gesetze/FzTV/15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