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FzTV — Widerruf, Rücknahme und Erlöschen der Einzelgenehmigung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Einzelgenehmigung erlischt bei Rückgabe, nach Ablauf einer etwa festgesetzten Frist, bei Rücknahme oder Widerruf durch die nach § 68 der Straßenverkehrs-Zulassungs-Ordnung zuständige Verwaltungsbehörde (Zulassungsbehörde), ferner dann, wenn sie den jeweils geltenden Rechtsvorschriften nicht mehr entspricht und dies durch die zuständige Stelle festgestellt worden ist.</w:t>
      </w:r>
    </w:p>
    <w:p>
      <w:r>
        <w:t xml:space="preserve">(2) Die Einzelgenehmigung kann widerrufen werden, wenn sich herausstellt, daß das Fahrzeugteil den Erfordernissen der Verkehrssicherheit nicht entspricht.</w:t>
      </w:r>
    </w:p>
    <w:p>
      <w:r>
        <w:t xml:space="preserve">(3) Nach dem Erlöschen der Einzelgenehmigung ist der Genehmigungsvermerk (§ 13) der Zulassungsbehörde zur Löschung unaufgefordert vorzulegen, nötigenfalls von dieser einzuziehen.</w:t>
      </w:r>
    </w:p>
    <w:p>
      <w:r>
        <w:rPr>
          <w:color w:val="555555"/>
          <w:sz w:val="17"/>
        </w:rPr>
        <w:t xml:space="preserve">Zitiervorschlag: § 14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