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FzTV — Erteilung der Einzelgenehmigung</w:t>
      </w:r>
    </w:p>
    <w:p>
      <w:r>
        <w:rPr>
          <w:color w:val="555555"/>
          <w:sz w:val="18"/>
        </w:rPr>
        <w:t xml:space="preserve">Fahrzeugteileverordnung</w:t>
      </w:r>
    </w:p>
    <w:p>
      <w:r>
        <w:rPr>
          <w:color w:val="555555"/>
          <w:sz w:val="18"/>
        </w:rPr>
        <w:t xml:space="preserve">Stand: 10.06.2019 (konsolidierte Textfassung, kein amtliches Inkrafttretensdatum)</w:t>
      </w:r>
    </w:p>
    <w:p>
      <w:r>
        <w:t xml:space="preserve">Die Verwaltungsbehörde (Zulassungsbehörde) erteilt die Einzelgenehmigung, indem sie auf dem Gutachten des amtlich anerkannten Sachverständigen für den Kraftfahrzeugverkehr oder der Prüfstelle unter Angabe von Ort und Datum vermerkt: "Einzelgenehmigung erteilt". Etwaige Beschränkungen oder Ausnahmen von den Bestimmungen der Straßenverkehrs-Zulassungs-Ordnung sind in den Vermerk aufzunehmen. Wird das Fahrzeugteil an einem Kraftfahrzeug oder Kraftfahrzeuganhänger verwendet, so ist die Einzelgenehmigung in den Fahrzeugbrief und in den Fahrzeugschein einzutragen und in den etwa ausgestellten Anhängerverzeichnissen kenntlich zu machen.</w:t>
      </w:r>
    </w:p>
    <w:p>
      <w:r>
        <w:rPr>
          <w:color w:val="555555"/>
          <w:sz w:val="17"/>
        </w:rPr>
        <w:t xml:space="preserve">Zitiervorschlag: § 13 FzTV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https://recht.nulegal.eu/gesetze/FzTV/13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