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FzTV — Prüfung durch die Verwaltungsbehörde (Zulassungsbehörde)</w:t>
      </w:r>
    </w:p>
    <w:p>
      <w:r>
        <w:rPr>
          <w:color w:val="555555"/>
          <w:sz w:val="18"/>
        </w:rPr>
        <w:t xml:space="preserve">Fahrzeugteileverordnung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Zulassungsbehörde ist an das Gutachten des amtlich anerkannten Sachverständigen für den Kraftfahrzeugverkehr oder der Prüfstelle nicht gebunden.</w:t>
      </w:r>
    </w:p>
    <w:p>
      <w:r>
        <w:t xml:space="preserve">(2) Die Zulassungsbehörde trifft die zur Prüfung etwa erforderlichen weiteren Maßnahmen. Sie kann hierzu die Vorführung des Fahrzeugteils sowie die Vorlage eines weiteren Gutachtens verlangen und ähnliche Anordnungen erlassen.</w:t>
      </w:r>
    </w:p>
    <w:p>
      <w:r>
        <w:rPr>
          <w:color w:val="555555"/>
          <w:sz w:val="17"/>
        </w:rPr>
        <w:t xml:space="preserve">Zitiervorschlag: § 12 FzTV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