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FzTV — Nachträgliche Nebenbestimmungen, Widerruf, Rücknahme und Erlöschen der Allgemeinen Bauartgenehmigung</w:t>
      </w:r>
    </w:p>
    <w:p>
      <w:r>
        <w:rPr>
          <w:color w:val="555555"/>
          <w:sz w:val="18"/>
        </w:rPr>
        <w:t xml:space="preserve">Fahrzeugteileverordnung</w:t>
      </w:r>
    </w:p>
    <w:p>
      <w:r>
        <w:rPr>
          <w:color w:val="555555"/>
          <w:sz w:val="18"/>
        </w:rPr>
        <w:t xml:space="preserve">Stand: 10.06.2019 (konsolidierte Textfassung, kein amtliches Inkrafttretensdatum)</w:t>
      </w:r>
    </w:p>
    <w:p>
      <w:r>
        <w:t xml:space="preserve">(1) Das Kraftfahrt-Bundesamt kann zur Beseitigung aufgetretener Mängel und zur Gewährleistung der Vorschriftsmäßigkeit auch bereits im Verkehr befindlicher Fahrzeugteile nachträglich Nebenbestimmungen anordnen.</w:t>
      </w:r>
    </w:p>
    <w:p>
      <w:r>
        <w:t xml:space="preserve">(2) Die allgemeine Bauartgenehmigung erlischt bei Rückgabe, nach Ablauf einer etwa festgesetzten Frist und dann, wenn sie den Rechtsvorschriften nicht mehr entspricht und dies durch die zuständige Stelle festgestellt worden ist.</w:t>
      </w:r>
    </w:p>
    <w:p>
      <w:r>
        <w:t xml:space="preserve">(3) Das Kraftfahrt-Bundesamt kann die Allgemeine Bauartgenehmigung ganz oder teilweise widerrufen oder zurücknehmen, insbesondere wenn festgestellt wird, daß</w:t>
      </w:r>
    </w:p>
    <w:p>
      <w:pPr>
        <w:ind w:left="420"/>
      </w:pPr>
      <w:r>
        <w:t xml:space="preserve">1. Fahrzeugteile mit einem vorgeschriebenen Prüfzeichen nicht mit dem genehmigten Typ übereinstimmen,</w:t>
      </w:r>
    </w:p>
    <w:p>
      <w:pPr>
        <w:ind w:left="420"/>
      </w:pPr>
      <w:r>
        <w:t xml:space="preserve">2. Fahrzeugteile, obwohl sie mit einem gültigen Prüfzeichen versehen sind, die Sicherheit des Straßenverkehrs gefährden,</w:t>
      </w:r>
    </w:p>
    <w:p>
      <w:pPr>
        <w:ind w:left="420"/>
      </w:pPr>
      <w:r>
        <w:t xml:space="preserve">3. der Inhaber der Allgemeine Bauartgenehmigung nicht über ein vorgeschriebenes Qualitätssicherungssystem verfügt oder dieses nicht mehr in der vorgeschriebenen Weise anwendet oder</w:t>
      </w:r>
    </w:p>
    <w:p>
      <w:pPr>
        <w:ind w:left="420"/>
      </w:pPr>
      <w:r>
        <w:t xml:space="preserve">4. Nebenbestimmungen nicht eingehalten werden.</w:t>
      </w:r>
    </w:p>
    <w:p>
      <w:r>
        <w:t xml:space="preserve">(4) Das Kraftfahrt-Bundesamt ist unverzüglich vom Inhaber der Allgemeinen Bauartgenehmigung zu benachrichtigen, wenn die reihenweise Fertigung oder der Vertrieb des genehmigten Fahrzeugteils endgültig eingestellt, innerhalb eines Jahres nach Erteilung der Allgemeinen Bauartgenehmigung nicht aufgenommen oder länger als ein Jahr eingestellt wird. Die Aufnahme der Fertigung oder des Vertriebs ist nach Unterbrechung oder Aufschub dem Kraftfahrt-Bundesamt unaufgefordert innerhalb eines Monats mitzuteilen.</w:t>
      </w:r>
    </w:p>
    <w:p>
      <w:r>
        <w:t xml:space="preserve">(5) Ist die Allgemeine Bauartgenehmigung erloschen, kann das Kraftfahrt-Bundesamt die Veräußerung der aufgrund einer solchen Genehmigung hergestellten Fahrzeugteile zur Verwendung im Straßenverkehr im Geltungsbereich dieser Verordnung untersagen und hierüber die für die Zulassung und Überwachung zuständigen Stellen unterrichten.</w:t>
      </w:r>
    </w:p>
    <w:p>
      <w:r>
        <w:rPr>
          <w:color w:val="555555"/>
          <w:sz w:val="17"/>
        </w:rPr>
        <w:t xml:space="preserve">Zitiervorschlag: § 10 FzTV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https://recht.nulegal.eu/gesetze/FzTV/10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