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FzTV — Arten der Genehmigung von Fahrzeugteilen</w:t>
      </w:r>
    </w:p>
    <w:p>
      <w:r>
        <w:rPr>
          <w:color w:val="555555"/>
          <w:sz w:val="18"/>
        </w:rPr>
        <w:t xml:space="preserve">Fahrzeugteileverordnung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22a Abs. 1 der Straßenverkehrs-Zulassungs-Ordnung vorgeschriebene Genehmigung der Bauart von Fahrzeugteilen kann für die Bauart eines Typs (Allgemeine Bauartgenehmigung) oder eines einzelnen Fahrzeugteils (Bauartgenehmigung im Einzelfall - Einzelgenehmigung -) erteilt werden.</w:t>
      </w:r>
    </w:p>
    <w:p>
      <w:r>
        <w:t xml:space="preserve">(2) Der in § 22a Abs. 1 der Straßenverkehrs-Zulassungs-Ordnung vorgeschriebenen Genehmigung steht die Genehmigung gleich, die ein anderer Staat für die Bauart eines der in § 22a Abs. 1 der Straßenverkehrs-Zulassungs-Ordnung genannten Fahrzeugteils unter Beachtung der mit der Bundesrepublik Deutschland vereinbarten Bedingungen erteilt hat.</w:t>
      </w:r>
    </w:p>
    <w:p>
      <w:r>
        <w:rPr>
          <w:color w:val="555555"/>
          <w:sz w:val="17"/>
        </w:rPr>
        <w:t xml:space="preserve">Zitiervorschlag: § 1 FzTV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