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FzMechAusbV</w:t>
      </w:r>
    </w:p>
    <w:p>
      <w:r>
        <w:rPr>
          <w:color w:val="555555"/>
          <w:sz w:val="18"/>
        </w:rPr>
        <w:t xml:space="preserve">Fahrzeugbaumechanikerausbildungsverordnung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Auf Grund des § 4 Absatz 1 des Berufsbildungsgesetzes, der durch Artikel 232 Nummer 1 der Verordnung vom 31. Oktober 2006 (BGBl. I S. 2407) geändert worden ist, und auf Grund des § 25 Absatz 1 der Handwerksordnung, der zuletzt durch Artikel 146 der Verordnung vom 31. Oktober 2006 (BGBl. I S. 2407) geändert worden ist, jeweils in Verbindung mit § 1 Absatz 2 des Zuständigkeitsanpassungsgesetzes vom 16. August 2002 (BGBl. I S. 3165) und dem Organisationserlass vom 17. Dezember 2013 (BGBl. I S. 4310)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FzMechAusbV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https://recht.nulegal.eu/gesetze/FzMechAusbV/eingangsformel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