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FzMechAusbV — Fachrichtungen der Berufsausbildung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Die Berufsausbildung wird in einer der beiden folgenden Fachrichtungen durchgeführt:</w:t>
      </w:r>
    </w:p>
    <w:p>
      <w:pPr>
        <w:ind w:left="420"/>
      </w:pPr>
      <w:r>
        <w:t xml:space="preserve">1. Karosserieinstandhaltungstechnik oder</w:t>
      </w:r>
    </w:p>
    <w:p>
      <w:pPr>
        <w:ind w:left="420"/>
      </w:pPr>
      <w:r>
        <w:t xml:space="preserve">2. Karosserie- und Fahrzeugbautechnik.</w:t>
      </w:r>
    </w:p>
    <w:p>
      <w:r>
        <w:rPr>
          <w:color w:val="555555"/>
          <w:sz w:val="17"/>
        </w:rPr>
        <w:t xml:space="preserve">Zitiervorschlag: § 3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