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FzMechAusbV — Fortsetzung der Berufsausbildung</w:t>
      </w:r>
    </w:p>
    <w:p>
      <w:r>
        <w:rPr>
          <w:color w:val="555555"/>
          <w:sz w:val="18"/>
        </w:rPr>
        <w:t xml:space="preserve">Fahrzeugbaumechanikerausbildungsverordnung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Die erfolgreich abgeschlossene Berufsausbildung zum Kraftfahrzeugservicemechaniker und zur Kraftfahrzeugservicemechanikerin kann im Ausbildungsberuf Karosserie- und Fahrzeugbaumechaniker und Karosserie- und Fahrzeugbaumechanikerin ab dem dritten Ausbildungsjahr nach dieser Verordnung fortgesetzt werden.</w:t>
      </w:r>
    </w:p>
    <w:p>
      <w:r>
        <w:rPr>
          <w:color w:val="555555"/>
          <w:sz w:val="17"/>
        </w:rPr>
        <w:t xml:space="preserve">Zitiervorschlag: § 13 FzMechAusbV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https://recht.nulegal.eu/gesetze/FzMechAusbV/13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