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FuttMV 1981 — Angaben</w:t>
      </w:r>
    </w:p>
    <w:p>
      <w:r>
        <w:rPr>
          <w:color w:val="555555"/>
          <w:sz w:val="18"/>
        </w:rPr>
        <w:t xml:space="preserve">Futtermittelverordnung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Werden bei Mischfuttermitteln Angaben über den Gehalt an Energie gemacht, so sind diese Angaben nach den Schätzgleichungen in Anlage 2 Teil 1, soweit dort für die jeweilige Tierart eine Schätzgleichung festgeschrieben ist, zu berechnen. Die Nettoenergie-Laktation und die umsetzbare Energie sind, bezogen auf die Originalsubstanz, in Megajoule je Kilogramm (MJ/kg) mit einer Dezimalstelle anzugeben. Angaben über den Gehalt an Energie nach Satz 1 gelten noch als richtig, wenn die festgestellten Gehalte die angegebenen Gehalte um nicht mehr als nachstehend aufgeführt unterschreiten:</w:t>
      </w:r>
    </w:p>
    <w:p>
      <w:pPr>
        <w:ind w:left="420"/>
      </w:pPr>
      <w:r>
        <w:t xml:space="preserve">1. Umsetzbare Energie: 0,4 Megajoule je Kilogramm,</w:t>
      </w:r>
    </w:p>
    <w:p>
      <w:pPr>
        <w:ind w:left="420"/>
      </w:pPr>
      <w:r>
        <w:t xml:space="preserve">2. Nettoenergie-Laktation: 0,25 Megajoule je Kilogramm.</w:t>
      </w:r>
    </w:p>
    <w:p>
      <w:r>
        <w:t xml:space="preserve">(2) Bei Mischfuttermitteln für nicht der Lebensmittelgewinnung dienende Tiere mit Ausnahme von Pelztieren im Sinne des Artikels 3 Absatz 2 Buchstabe e der Verordnung (EG) Nr. 767/2009 in der Fassung vom 5. Dezember 2018 kann anstelle der spezifischen Bezeichnung eines Einzelfuttermittels nach Artikel 17 Absatz 1 Buchstabe e der Verordnung (EG) Nr. 767/2009 in der Fassung vom 5. Dezember 2018 die Gruppe nach Anlage 3 angegeben werden, zu der das jeweilige Einzelfuttermittel gehört, soweit in einem unmittelbar geltenden Rechtsakt der Europäischen Union auf Grund des Artikels 17 Absatz 4 der Verordnung (EG) Nr. 767/2009 in der Fassung vom 5. Dezember 2018 keine abweichenden Regelungen getroffen sind.</w:t>
      </w:r>
    </w:p>
    <w:p>
      <w:r>
        <w:rPr>
          <w:color w:val="555555"/>
          <w:sz w:val="17"/>
        </w:rPr>
        <w:t xml:space="preserve">Zitiervorschlag: § 6 FuttMV 1981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https://recht.nulegal.eu/gesetze/FuttMV%201981/6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