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51 FuttMV 1981 — Inkrafttreten, Übergangsregelungen</w:t>
      </w:r>
    </w:p>
    <w:p>
      <w:r>
        <w:rPr>
          <w:color w:val="555555"/>
          <w:sz w:val="18"/>
        </w:rPr>
        <w:t xml:space="preserve">Futtermittelverordnung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(Inkrafttreten; Außerkrafttreten bisheriger Vorschriften)</w:t>
      </w:r>
    </w:p>
    <w:p>
      <w:r>
        <w:rPr>
          <w:color w:val="555555"/>
          <w:sz w:val="17"/>
        </w:rPr>
        <w:t xml:space="preserve">Zitiervorschlag: § 51 FuttMV 1981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https://recht.nulegal.eu/gesetze/FuttMV%201981/51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