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49a FuttMV 1981 — Übergangsregelungen</w:t>
      </w:r>
    </w:p>
    <w:p>
      <w:r>
        <w:rPr>
          <w:color w:val="555555"/>
          <w:sz w:val="18"/>
        </w:rPr>
        <w:t xml:space="preserve">Futtermittelverordnung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Futtermittel dürfen noch bis zum 31. August 2020 mit Etiketten, die den Anforderungen des § 6 Absatz 2 der Futtermittelverordnung in der am 30. Juli 2018 geltenden Fassung genügen, gekennzeichnet werden. Futtermittel, die mit Etiketten, die den Anforderungen des § 6 Absatz 2 in der am 30. Juli 2018 geltenden Fassung genügen, gekennzeichnet sind, dürfen noch in den Verkehr gebracht werden, bis die Bestände aufgebraucht sind.</w:t>
      </w:r>
    </w:p>
    <w:p>
      <w:r>
        <w:rPr>
          <w:color w:val="555555"/>
          <w:sz w:val="17"/>
        </w:rPr>
        <w:t xml:space="preserve">Zitiervorschlag: § 49a FuttMV 1981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https://recht.nulegal.eu/gesetze/FuttMV%201981/49a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