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FuttMV 1981 — Ordnungswidrigkeiten bei bestimmten Zuwiderhandlungen gegen die Verordnung (EG) Nr. 767/2009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Ordnungswidrig im Sinne des § 60 Absatz 4 Nummer 2 Buchstabe a des Lebensmittel- und Futtermittelgesetzbuches handelt, wer gegen die Verordnung (EG) Nr. 767/2009 des Europäischen Parlaments und des Rates vom 13. Juli 2009 über das Inverkehrbringen und die Verwendung von Futtermitteln, zur Änderung der Verordnung (EG) Nr. 1831/2003 in der Fassung vom 5. Dezember 2018 verstößt, indem er vorsätzlich oder fahrlässig</w:t>
      </w:r>
    </w:p>
    <w:p>
      <w:pPr>
        <w:ind w:left="420"/>
      </w:pPr>
      <w:r>
        <w:t xml:space="preserve">1. entgegen Artikel 4 Absatz 2 Unterabsatz 1 Buchstabe a als Futtermittelunternehmer, der ein Futtermittel in den Verkehr bringt, nicht sicherstellt, dass das Futtermittel den dort genannten Anforderungen entspricht,</w:t>
      </w:r>
    </w:p>
    <w:p>
      <w:pPr>
        <w:ind w:left="420"/>
      </w:pPr>
      <w:r>
        <w:t xml:space="preserve">2. entgegen Artikel 4 Absatz 2 Unterabsatz 1 Buchstabe b in Verbindung mit</w:t>
      </w:r>
    </w:p>
    <w:p>
      <w:pPr>
        <w:ind w:left="780"/>
      </w:pPr>
      <w:r>
        <w:t xml:space="preserve">a) Artikel 11 Absatz 4, dieser in Verbindung mit Anhang II Nummer 1, 2 oder 4,</w:t>
      </w:r>
    </w:p>
    <w:p>
      <w:pPr>
        <w:ind w:left="780"/>
      </w:pPr>
      <w:r>
        <w:t xml:space="preserve">b) Artikel 13 Absatz 1 Buchstabe a oder Absatz 3,</w:t>
      </w:r>
    </w:p>
    <w:p>
      <w:pPr>
        <w:ind w:left="780"/>
      </w:pPr>
      <w:r>
        <w:t xml:space="preserve">c) Artikel 14 Absatz 1 oder Absatz 2,</w:t>
      </w:r>
    </w:p>
    <w:p>
      <w:pPr>
        <w:ind w:left="780"/>
      </w:pPr>
      <w:r>
        <w:t xml:space="preserve">d) Artikel 19,</w:t>
      </w:r>
    </w:p>
    <w:p>
      <w:pPr>
        <w:ind w:left="780"/>
      </w:pPr>
      <w:r>
        <w:t xml:space="preserve">e) Artikel 20 Absatz 1 oder</w:t>
      </w:r>
    </w:p>
    <w:p>
      <w:pPr>
        <w:ind w:left="780"/>
      </w:pPr>
      <w:r>
        <w:t xml:space="preserve">f) Artikel 22 Absatz 1, dieser in Verbindung mit Anhang VI Kapitel II Nummer 2 oder 3 oder Anhang VII Kapitel II Nummer 2 oder 3,</w:t>
      </w:r>
    </w:p>
    <w:p>
      <w:pPr>
        <w:ind w:left="420"/>
      </w:pPr>
      <w:r>
        <w:t xml:space="preserve">als Futtermittelunternehmer, der ein Futtermittel in den Verkehr bringt, nicht sicherstellt, dass ein Futtermittel in der dort genannten Weise gekennzeichnet, verpackt oder aufgemacht wird,</w:t>
      </w:r>
    </w:p>
    <w:p>
      <w:pPr>
        <w:ind w:left="420"/>
      </w:pPr>
      <w:r>
        <w:t xml:space="preserve">3. ohne Zulassung nach Artikel 8 Absatz 2 Satz 3 einen dort genannten Futtermittelzusatzstoff verwendet,</w:t>
      </w:r>
    </w:p>
    <w:p>
      <w:pPr>
        <w:ind w:left="420"/>
      </w:pPr>
      <w:r>
        <w:t xml:space="preserve">4. entgegen Artikel 9 ein Futtermittel für besondere Ernährungszwecke in den Verkehr bringt,</w:t>
      </w:r>
    </w:p>
    <w:p>
      <w:pPr>
        <w:ind w:left="420"/>
      </w:pPr>
      <w:r>
        <w:t xml:space="preserve">5. als Futtermittelunternehmer, der ein Futtermittel durch Fernkommunikationsmittel zum Verkauf anbietet, entgegen Artikel 11 Absatz 3 Satz 2 eine dort genannte Angabe nicht, nicht richtig, nicht vollständig oder nicht rechtzeitig bereitstellt oder</w:t>
      </w:r>
    </w:p>
    <w:p>
      <w:pPr>
        <w:ind w:left="420"/>
      </w:pPr>
      <w:r>
        <w:t xml:space="preserve">6. entgegen Artikel 15, auch in Verbindung mit</w:t>
      </w:r>
    </w:p>
    <w:p>
      <w:pPr>
        <w:ind w:left="780"/>
      </w:pPr>
      <w:r>
        <w:t xml:space="preserve">a) Artikel 16 Absatz 1 Buchstabe a oder Buchstabe b erster Halbsatz und Absatz 2,</w:t>
      </w:r>
    </w:p>
    <w:p>
      <w:pPr>
        <w:ind w:left="780"/>
      </w:pPr>
      <w:r>
        <w:t xml:space="preserve">b) Artikel 17 Absatz 1 Buchstabe a bis d Satz 1 oder Buchstabe e, dieser auch in Verbindung mit Absatz 2, oder Buchstabe f,</w:t>
      </w:r>
    </w:p>
    <w:p>
      <w:pPr>
        <w:ind w:left="780"/>
      </w:pPr>
      <w:r>
        <w:t xml:space="preserve">c) Artikel 18 oder</w:t>
      </w:r>
    </w:p>
    <w:p>
      <w:pPr>
        <w:ind w:left="780"/>
      </w:pPr>
      <w:r>
        <w:t xml:space="preserve">d) Artikel 20 Absatz 1,</w:t>
      </w:r>
    </w:p>
    <w:p>
      <w:pPr>
        <w:ind w:left="420"/>
      </w:pPr>
      <w:r>
        <w:t xml:space="preserve">ein dort genanntes Futtermittel in den Verkehr bringt.</w:t>
      </w:r>
    </w:p>
    <w:p>
      <w:r>
        <w:t xml:space="preserve">(2) Ordnungswidrig im Sinne des § 60 Absatz 4 Nummer 2 Buchstabe b des Lebensmittel- und Futtermittelgesetzbuches handelt, wer vorsätzlich oder fahrlässig entgegen Artikel 23 Absatz 1 Satz 1 der Verordnung (EG) Nr. 767/2009 in der Fassung vom 5. Dezember 2018, auch in Verbindung mit Satz 2, ein Einzelfuttermittel oder ein Mischfuttermittel in den Verkehr bringt.</w:t>
      </w:r>
    </w:p>
    <w:p>
      <w:r>
        <w:rPr>
          <w:color w:val="555555"/>
          <w:sz w:val="17"/>
        </w:rPr>
        <w:t xml:space="preserve">Zitiervorschlag: § 44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