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FuttMV 1981 — Ordnungswidrigkeiten bei bestimmten Zuwiderhandlungen gegen die Verordnung (EG) Nr. 1831/2003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Ordnungswidrig im Sinne des § 60 Absatz 4 Nummer 2 Buchstabe a des Lebensmittel- und Futtermittelgesetzbuches handelt, wer gegen die Verordnung (EG) Nr. 1831/2003 in der Fassung vom 20. Juni 2019 verstößt, indem er vorsätzlich oder fahrlässig</w:t>
      </w:r>
    </w:p>
    <w:p>
      <w:pPr>
        <w:ind w:left="420"/>
      </w:pPr>
      <w:r>
        <w:t xml:space="preserve">1. entgegen Artikel 3 Absatz 1 einen Futtermittelzusatzstoff in Verkehr bringt, verarbeitet oder verwendet,</w:t>
      </w:r>
    </w:p>
    <w:p>
      <w:pPr>
        <w:ind w:left="420"/>
      </w:pPr>
      <w:r>
        <w:t xml:space="preserve">2. entgegen Artikel 10 Absatz 3 in Verbindung mit Artikel 16 Absatz 1 Satz 1 und Absatz 3 einen Futtermittelzusatzstoff, der in das Register nach Artikel 10 Absatz 1 Buchstabe b Satz 2 eingetragen ist, in Verkehr bringt oder</w:t>
      </w:r>
    </w:p>
    <w:p>
      <w:pPr>
        <w:ind w:left="420"/>
      </w:pPr>
      <w:r>
        <w:t xml:space="preserve">3. entgegen Artikel 16 Absatz 1 Satz 1 in Verbindung mit Absatz 3 und 4 eine Vormischung von Zusatzstoffen in Verkehr bringt.</w:t>
      </w:r>
    </w:p>
    <w:p>
      <w:r>
        <w:t xml:space="preserve">(2) Ordnungswidrig im Sinne des § 60 Absatz 4 Nummer 2 Buchstabe b des Lebensmittel- und Futtermittelgesetzbuches handelt, wer vorsätzlich oder fahrlässig entgegen Artikel 16 Absatz 5, auch in Verbindung mit Artikel 10 Absatz 3, der Verordnung (EG) Nr. 1831/2003 einen Futtermittelzusatzstoff oder eine Vormischung in Verkehr bringt.</w:t>
      </w:r>
    </w:p>
    <w:p>
      <w:r>
        <w:rPr>
          <w:color w:val="555555"/>
          <w:sz w:val="17"/>
        </w:rPr>
        <w:t xml:space="preserve">Zitiervorschlag: § 41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