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FuttMV 1981 — Straftaten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Nach § 58 Absatz 3 des Lebensmittel- und Futtermittelgesetzbuches wird bestraft, wer gegen die Verordnung (EG) Nr. 999/2001 in der Fassung vom 25. März 2024 verstößt, indem er</w:t>
      </w:r>
    </w:p>
    <w:p>
      <w:pPr>
        <w:ind w:left="420"/>
      </w:pPr>
      <w:r>
        <w:t xml:space="preserve">1. entgegen Artikel 7 Absatz 1, auch in Verbindung mit Artikel 7 Absatz 2, ein tierisches Protein an einen Wiederkäuer oder ein dort genanntes Erzeugnis tierischen Ursprungs an ein anderes dort genanntes Tier verfüttert,</w:t>
      </w:r>
    </w:p>
    <w:p>
      <w:pPr>
        <w:ind w:left="420"/>
      </w:pPr>
      <w:r>
        <w:t xml:space="preserve">2. entgegen Anhang IV Kapitel III Abschnitt B Nummer 1 oder Kapitel V Abschnitt C Nummer 1 oder 2 ein dort genanntes Mischfuttermittel herstellt,</w:t>
      </w:r>
    </w:p>
    <w:p>
      <w:pPr>
        <w:ind w:left="420"/>
      </w:pPr>
      <w:r>
        <w:t xml:space="preserve">3. als derjenige, der Futtermittel herstellt, behandelt, in den Verkehr bringt oder verfüttert, entgegen Anhang IV Kapitel V Abschnitt B Nummer 1 ein dort genanntes Futtermittel nicht richtig transportiert oder nicht richtig lagert oder</w:t>
      </w:r>
    </w:p>
    <w:p>
      <w:pPr>
        <w:ind w:left="420"/>
      </w:pPr>
      <w:r>
        <w:t xml:space="preserve">4. entgegen Anhang IV Kapitel V Abschnitt D ein dort genanntes Futtermittel verwendet oder lagert.</w:t>
      </w:r>
    </w:p>
    <w:p>
      <w:r>
        <w:rPr>
          <w:color w:val="555555"/>
          <w:sz w:val="17"/>
        </w:rPr>
        <w:t xml:space="preserve">Zitiervorschlag: § 39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