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FuttMV 1981 — Einfuhrregelungen für Guarkernmehl</w:t>
      </w:r>
    </w:p>
    <w:p>
      <w:r>
        <w:rPr>
          <w:color w:val="555555"/>
          <w:sz w:val="18"/>
        </w:rPr>
        <w:t xml:space="preserve">Futtermittelverordnung</w:t>
      </w:r>
    </w:p>
    <w:p>
      <w:r>
        <w:rPr>
          <w:color w:val="555555"/>
          <w:sz w:val="18"/>
        </w:rPr>
        <w:t xml:space="preserve">Außer Kraft: § 32 ist seit 20.04.2024 nicht mehr im FuttMV 1981 enthalten. Angezeigt wird die letzte bekannte Fassung, Stand 10.06.2019.</w:t>
      </w:r>
    </w:p>
    <w:p>
      <w:r>
        <w:t xml:space="preserve">(1) Ein</w:t>
      </w:r>
    </w:p>
    <w:p>
      <w:pPr>
        <w:ind w:left="420"/>
      </w:pPr>
      <w:r>
        <w:t xml:space="preserve">1. in Artikel 1 Absatz 1 der Durchführungsverordnung (EU) 2015/175 der Kommission vom 5. Februar 2015 zur Festlegung von Sondervorschriften für die Einfuhr von Guarkernmehl, dessen Ursprung oder Herkunft Indien ist, wegen des Risikos einer Kontamination mit Pentachlorphenol und Dioxinen (ABl. L 30 vom 6.2.2015, S. 10) bezeichneter Stoff, der für den Verzehr durch Tiere bestimmt ist, oder</w:t>
      </w:r>
    </w:p>
    <w:p>
      <w:pPr>
        <w:ind w:left="420"/>
      </w:pPr>
      <w:r>
        <w:t xml:space="preserve">2. in Artikel 1 Absatz 2 der Durchführungsverordnung (EU) 2015/175 bezeichnetes Mischfuttermittel</w:t>
      </w:r>
    </w:p>
    <w:p>
      <w:r>
        <w:t xml:space="preserve">darf nur eingeführt werden, wenn es über einen in Anlage 5 genannten Eingangsort in das Inland verbracht wird.</w:t>
      </w:r>
    </w:p>
    <w:p>
      <w:r>
        <w:t xml:space="preserve">(2) Abweichend von Artikel 5 Absatz 1 der Durchführungsverordnung (EU) 2015/175 ist die Einfuhr eines in Artikel 1 Absatz 1 oder Absatz 2 der Durchführungsverordnung (EU) 2015/175 genannten Futtermittels, das vor dem 26. Februar 2015 aus seinem Ursprungsland verbracht worden ist, zulässig, soweit es</w:t>
      </w:r>
    </w:p>
    <w:p>
      <w:pPr>
        <w:ind w:left="420"/>
      </w:pPr>
      <w:r>
        <w:t xml:space="preserve">1. über einen in Anlage 5 genannten Eingangsort in das Inland verbracht wird und</w:t>
      </w:r>
    </w:p>
    <w:p>
      <w:pPr>
        <w:ind w:left="420"/>
      </w:pPr>
      <w:r>
        <w:t xml:space="preserve">2. nachweislich einer Genusstauglichkeitsbescheinigung nach Artikel 2 Absatz 1 Buchstabe b der Verordnung (EU) Nr. 258/2010 der Kommission vom 25. März 2010 zum Erlass von Sondervorschriften für die Einfuhr von Guarkernmehl, dessen Ursprung oder Herkunft Indien ist, wegen des Risikos einer Kontamination mit Pentachlorphenol und Dioxinen sowie zur Aufhebung der Entscheidung 2008/352/EG (ABl. L 80 vom 26.3.2010, S. 28) keinen Gehalt an Pentachlorphenol enthält, der 0,01 mg/kg überschreitet.</w:t>
      </w:r>
    </w:p>
    <w:p>
      <w:r>
        <w:rPr>
          <w:color w:val="555555"/>
          <w:sz w:val="17"/>
        </w:rPr>
        <w:t xml:space="preserve">Zitiervorschlag: § 32 FuttMV 1981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https://recht.nulegal.eu/gesetze/FuttMV%201981/32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