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FuttMV 1981 — Einfuhrverbote</w:t>
      </w:r>
    </w:p>
    <w:p>
      <w:r>
        <w:rPr>
          <w:color w:val="555555"/>
          <w:sz w:val="18"/>
        </w:rPr>
        <w:t xml:space="preserve">Futtermittelverordnung</w:t>
      </w:r>
    </w:p>
    <w:p>
      <w:r>
        <w:rPr>
          <w:color w:val="555555"/>
          <w:sz w:val="18"/>
        </w:rPr>
        <w:t xml:space="preserve">Außer Kraft: § 31 ist seit 20.04.2024 nicht mehr im FuttMV 1981 enthalten. Angezeigt wird die letzte bekannte Fassung, Stand 10.06.2019.</w:t>
      </w:r>
    </w:p>
    <w:p>
      <w:r>
        <w:t xml:space="preserve">(1) Die Einfuhr von Futtermitteln tierischen Ursprungs aus der Volksrepublik China ist verboten.</w:t>
      </w:r>
    </w:p>
    <w:p>
      <w:r>
        <w:t xml:space="preserve">(2) Abweichend von Absatz 1 ist die Einfuhr von Erzeugnissen, die in Teil I des Anhangs der Entscheidung 2002/994/EG der Kommission vom 20. Dezember 2002 über Schutzmaßnahmen betreffend aus China eingeführte Erzeugnisse tierischen Ursprungs (ABl. L 348 vom 21.12.2002, S. 154), die zuletzt durch den Durchführungsbeschluss (EU) 2015/1068 (ABl. L 174 vom 3.7.2015, S. 30) geändert worden ist, genannt sind, gestattet.</w:t>
      </w:r>
    </w:p>
    <w:p>
      <w:r>
        <w:t xml:space="preserve">(3) Abweichend von Absatz 1 ist ferner die Einfuhr von Erzeugnissen, die in Teil II des Anhangs der Entscheidung 2002/994/EG genannt sind, gestattet, sofern ihnen eine Bescheinigung der zuständigen Behörde der Volksrepublik China beigefügt ist, aus der hervorgeht, dass jede Sendung einer chemischen Untersuchung unterzogen wurde, um sicherzustellen, dass die betreffenden Erzeugnisse keine Gefahr für die Gesundheit von Mensch oder Tier darstellen. Ein Erzeugnis stellt insbesondere eine Gefahr für die Gesundheit von Mensch oder Tier dar, wenn bei der Untersuchung festgestellt wird, dass</w:t>
      </w:r>
    </w:p>
    <w:p>
      <w:pPr>
        <w:ind w:left="420"/>
      </w:pPr>
      <w:r>
        <w:t xml:space="preserve">1. es Chloramphenicol oder Nitrofuran einschließlich seiner Metaboliten oder</w:t>
      </w:r>
    </w:p>
    <w:p>
      <w:pPr>
        <w:ind w:left="420"/>
      </w:pPr>
      <w:r>
        <w:t xml:space="preserve">2. ein im ersten Anstrich in Teil II des Anhangs der Entscheidung 2002/994/EG genanntes Erzeugnis Malachitgrün oder Kristallviolett oder deren jeweiligen Metaboliten</w:t>
      </w:r>
    </w:p>
    <w:p>
      <w:r>
        <w:t xml:space="preserve">enthält. Die Analyseergebnisse der Untersuchung sind in der Bescheinigung anzugeben.</w:t>
      </w:r>
    </w:p>
    <w:p>
      <w:r>
        <w:t xml:space="preserve">(4) (weggefallen)</w:t>
      </w:r>
    </w:p>
    <w:p>
      <w:r>
        <w:rPr>
          <w:color w:val="555555"/>
          <w:sz w:val="17"/>
        </w:rPr>
        <w:t xml:space="preserve">Zitiervorschlag: § 31 FuttMV 1981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https://recht.nulegal.eu/gesetze/FuttMV%201981/31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