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FuttMV 1981 — Aufbewahrung von Buchführungsunterlagen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Wer gewerbsmäßig ortsfeste oder bewegliche Anlagen zur Herstellung von Futtermitteln anderen überlässt, hat über die Überlassung Buch zu führen.</w:t>
      </w:r>
    </w:p>
    <w:p>
      <w:r>
        <w:t xml:space="preserve">(2) Die Buchführungspflichtigen nach Absatz 1 oder nach Artikel 5 Absatz 1 in Verbindung mit Anhang I oder Artikel 5 Absatz 2 in Verbindung mit Anhang II der Verordnung (EG) Nr. 183/2005 in der Fassung vom 20. Juni 2019 haben die Bücher, Buchführungsunterlagen, Dokumentationen und Dateien fünf Jahre aufzubewahren. Vorschriften, die eine längere Aufbewahrungspflicht vorsehen, bleiben unberührt.</w:t>
      </w:r>
    </w:p>
    <w:p>
      <w:r>
        <w:rPr>
          <w:color w:val="555555"/>
          <w:sz w:val="17"/>
        </w:rPr>
        <w:t xml:space="preserve">Zitiervorschlag: § 30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