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FuttMV 1981 — Untersuchung von Futtermitteln auf Pestizidrückstände</w:t>
      </w:r>
    </w:p>
    <w:p>
      <w:r>
        <w:rPr>
          <w:color w:val="555555"/>
          <w:sz w:val="18"/>
        </w:rPr>
        <w:t xml:space="preserve">Futtermittelverordnung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der amtlichen Untersuchung von Futtermitteln auf Pestizidrückstände sind die in der amtlichen Sammlung von Untersuchungsverfahren nach § 64 Absatz 2 Satz 1 des Lebensmittel- und Futtermittelgesetzbuches aufgeführten Analysemethoden oder, soweit dort keine Analysemethoden aufgeführt sind, die in der amtlichen Sammlung von Untersuchungsverfahren nach § 64 Absatz 1 Satz 1 des Lebensmittel- und Futtermittelgesetzbuches für stoffgleiche Lebensmittel aufgeführten Analysemethoden anzuwenden.</w:t>
      </w:r>
    </w:p>
    <w:p>
      <w:r>
        <w:rPr>
          <w:color w:val="555555"/>
          <w:sz w:val="17"/>
        </w:rPr>
        <w:t xml:space="preserve">Zitiervorschlag: § 29 FuttMV 1981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https://recht.nulegal.eu/gesetze/FuttMV%201981/29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