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FuttMV 1981 — Lagerung und Aufbewahrung einer zurückgelassenen Endprobe</w:t>
      </w:r>
    </w:p>
    <w:p>
      <w:r>
        <w:rPr>
          <w:color w:val="555555"/>
          <w:sz w:val="18"/>
        </w:rPr>
        <w:t xml:space="preserve">Futtermittelverordnung</w:t>
      </w:r>
    </w:p>
    <w:p>
      <w:r>
        <w:rPr>
          <w:color w:val="555555"/>
          <w:sz w:val="18"/>
        </w:rPr>
        <w:t xml:space="preserve">Stand: 10.06.2019 (konsolidierte Textfassung, kein amtliches Inkrafttretensdatum)</w:t>
      </w:r>
    </w:p>
    <w:p>
      <w:r>
        <w:t xml:space="preserve">Wird eine im Rahmen der amtlichen Überwachung gebildete Endprobe eines Futtermittels bei demjenigen zurückgelassen, der nicht der Hersteller des beprobten Futtermittels ist, hat derjenige die Endprobe sachgerecht zu lagern und aufzubewahren.</w:t>
      </w:r>
    </w:p>
    <w:p>
      <w:r>
        <w:rPr>
          <w:color w:val="555555"/>
          <w:sz w:val="17"/>
        </w:rPr>
        <w:t xml:space="preserve">Zitiervorschlag: § 27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