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FuttMV 1981 — Status anerkannter, registrierter und angezeigter Betriebe</w:t>
      </w:r>
    </w:p>
    <w:p>
      <w:r>
        <w:rPr>
          <w:color w:val="555555"/>
          <w:sz w:val="18"/>
        </w:rPr>
        <w:t xml:space="preserve">Futtermittelverordnung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Betriebe nach</w:t>
      </w:r>
    </w:p>
    <w:p>
      <w:pPr>
        <w:ind w:left="420"/>
      </w:pPr>
      <w:r>
        <w:t xml:space="preserve">1. § 17 Absatz 3 Satz 2 Nummer 1, die nach § 29 Absatz 1 der Futtermittelverordnung in der bis zum 23. März 2007 geltenden Fassung anerkannt waren,</w:t>
      </w:r>
    </w:p>
    <w:p>
      <w:pPr>
        <w:ind w:left="420"/>
      </w:pPr>
      <w:r>
        <w:t xml:space="preserve">2. § 17 Absatz 2, die nach § 31 Absatz 1a der Futtermittelverordnung in der bis zum 23. März 2007 geltenden Fassung registriert waren,</w:t>
      </w:r>
    </w:p>
    <w:p>
      <w:r>
        <w:t xml:space="preserve">gelten als nach § 18 zugelassen.</w:t>
      </w:r>
    </w:p>
    <w:p>
      <w:r>
        <w:t xml:space="preserve">(2) Betriebe nach § 20 Satz 2 Nummer 1, die nach § 31 Absatz 1 Satz 1 der Futtermittelverordnung in der bis zum 23. März 2007 geltenden Fassung registriert waren, gelten als nach § 21 registriert.</w:t>
      </w:r>
    </w:p>
    <w:p>
      <w:r>
        <w:t xml:space="preserve">(3) Betriebe, denen eine</w:t>
      </w:r>
    </w:p>
    <w:p>
      <w:pPr>
        <w:ind w:left="420"/>
      </w:pPr>
      <w:r>
        <w:t xml:space="preserve">1. Anerkennungs-Kennnummer nach § 31b Nummer 1 der Futtermittelverordnung in der bis zum 23. März 2007 geltenden Fassung erteilt worden ist, behalten diese Nummer, bis ihnen eine Zulassungs-Kennnummer oder eine Registrierungs-Kennnummer erteilt worden ist,</w:t>
      </w:r>
    </w:p>
    <w:p>
      <w:pPr>
        <w:ind w:left="420"/>
      </w:pPr>
      <w:r>
        <w:t xml:space="preserve">2. Registrierungs-Kennnummer nach § 31b Nummer 2 der Futtermittelverordnung in der bis zum 23. März 2007 geltenden Fassung erteilt worden ist, behalten diese Nummer, bis ihnen eine neue Registrierungs-Kennnummer erteilt worden ist.</w:t>
      </w:r>
    </w:p>
    <w:p>
      <w:r>
        <w:t xml:space="preserve">(4) Betriebe nach § 22 Absatz 1 oder 3 Satz 1, die sich nach dem nach § 1 Absatz 1 Satz 1 Nummer 7 des Gesetzes über den Übergang auf das neue Lebensmittel- und Futtermittelrecht in der bis zum 6. September 2005 geltenden Fassung weiter anzuwendenden § 17 Absatz 1 Nummer 1 oder 3 und Absatz 2 Satz 1 des Futtermittelgesetzes angezeigt haben, gelten als angezeigt nach § 22.</w:t>
      </w:r>
    </w:p>
    <w:p>
      <w:r>
        <w:rPr>
          <w:color w:val="555555"/>
          <w:sz w:val="17"/>
        </w:rPr>
        <w:t xml:space="preserve">Zitiervorschlag: § 26 FuttMV 1981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https://recht.nulegal.eu/gesetze/FuttMV%201981/26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